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22C" w:rsidRPr="00990BD2" w:rsidRDefault="0007322C" w:rsidP="0007322C">
      <w:pPr>
        <w:spacing w:before="100" w:beforeAutospacing="1" w:after="100" w:afterAutospacing="1" w:line="270" w:lineRule="atLeast"/>
        <w:jc w:val="center"/>
        <w:rPr>
          <w:rFonts w:ascii="Arial" w:eastAsia="Times New Roman" w:hAnsi="Arial" w:cs="Arial"/>
          <w:b/>
          <w:color w:val="000000" w:themeColor="text1"/>
          <w:sz w:val="28"/>
          <w:szCs w:val="28"/>
          <w:lang w:eastAsia="es-CO"/>
        </w:rPr>
      </w:pPr>
      <w:r w:rsidRPr="00990BD2">
        <w:rPr>
          <w:rFonts w:ascii="Arial" w:eastAsia="Times New Roman" w:hAnsi="Arial" w:cs="Arial"/>
          <w:b/>
          <w:color w:val="000000" w:themeColor="text1"/>
          <w:sz w:val="28"/>
          <w:szCs w:val="28"/>
          <w:lang w:eastAsia="es-CO"/>
        </w:rPr>
        <w:t>PROYECTO DE ACTO LEGISLATIVO ______ DE 2019</w:t>
      </w:r>
    </w:p>
    <w:p w:rsidR="0007322C" w:rsidRPr="00990BD2" w:rsidRDefault="0007322C" w:rsidP="0007322C">
      <w:pPr>
        <w:spacing w:before="100" w:beforeAutospacing="1" w:after="100" w:afterAutospacing="1" w:line="270" w:lineRule="atLeast"/>
        <w:jc w:val="center"/>
        <w:rPr>
          <w:rFonts w:ascii="Arial" w:eastAsia="Times New Roman" w:hAnsi="Arial" w:cs="Arial"/>
          <w:b/>
          <w:color w:val="000000" w:themeColor="text1"/>
          <w:sz w:val="28"/>
          <w:szCs w:val="28"/>
          <w:lang w:eastAsia="es-CO"/>
        </w:rPr>
      </w:pPr>
      <w:r w:rsidRPr="00990BD2">
        <w:rPr>
          <w:rFonts w:ascii="Arial" w:eastAsia="Times New Roman" w:hAnsi="Arial" w:cs="Arial"/>
          <w:b/>
          <w:color w:val="000000" w:themeColor="text1"/>
          <w:sz w:val="28"/>
          <w:szCs w:val="28"/>
          <w:lang w:eastAsia="es-CO"/>
        </w:rPr>
        <w:t>“Por el cual se modifica el artículo 361 de la Constitución Política y se dictan otras disposiciones sobre el régimen de regalías y compensaciones”.</w:t>
      </w:r>
    </w:p>
    <w:p w:rsidR="0007322C" w:rsidRDefault="0007322C" w:rsidP="0007322C">
      <w:pPr>
        <w:spacing w:before="100" w:beforeAutospacing="1" w:after="100" w:afterAutospacing="1" w:line="270" w:lineRule="atLeast"/>
        <w:jc w:val="center"/>
        <w:rPr>
          <w:rFonts w:ascii="Arial" w:eastAsia="Times New Roman" w:hAnsi="Arial" w:cs="Arial"/>
          <w:color w:val="000000" w:themeColor="text1"/>
          <w:sz w:val="28"/>
          <w:szCs w:val="28"/>
          <w:lang w:eastAsia="es-CO"/>
        </w:rPr>
      </w:pPr>
    </w:p>
    <w:p w:rsidR="0007322C" w:rsidRPr="00990BD2" w:rsidRDefault="0007322C" w:rsidP="0007322C">
      <w:pPr>
        <w:spacing w:before="100" w:beforeAutospacing="1" w:after="100" w:afterAutospacing="1" w:line="270" w:lineRule="atLeast"/>
        <w:jc w:val="center"/>
        <w:rPr>
          <w:rFonts w:ascii="Arial" w:eastAsia="Times New Roman" w:hAnsi="Arial" w:cs="Arial"/>
          <w:b/>
          <w:color w:val="000000" w:themeColor="text1"/>
          <w:sz w:val="28"/>
          <w:szCs w:val="28"/>
          <w:lang w:eastAsia="es-CO"/>
        </w:rPr>
      </w:pPr>
      <w:r w:rsidRPr="00990BD2">
        <w:rPr>
          <w:rFonts w:ascii="Arial" w:eastAsia="Times New Roman" w:hAnsi="Arial" w:cs="Arial"/>
          <w:b/>
          <w:color w:val="000000" w:themeColor="text1"/>
          <w:sz w:val="28"/>
          <w:szCs w:val="28"/>
          <w:lang w:eastAsia="es-CO"/>
        </w:rPr>
        <w:t>EL CONGRESO DE COLOMBIA</w:t>
      </w:r>
    </w:p>
    <w:p w:rsidR="0007322C" w:rsidRPr="00990BD2" w:rsidRDefault="0007322C" w:rsidP="0007322C">
      <w:pPr>
        <w:spacing w:before="100" w:beforeAutospacing="1" w:after="100" w:afterAutospacing="1" w:line="270" w:lineRule="atLeast"/>
        <w:jc w:val="center"/>
        <w:rPr>
          <w:rFonts w:ascii="Arial" w:eastAsia="Times New Roman" w:hAnsi="Arial" w:cs="Arial"/>
          <w:b/>
          <w:color w:val="000000" w:themeColor="text1"/>
          <w:sz w:val="28"/>
          <w:szCs w:val="28"/>
          <w:lang w:eastAsia="es-CO"/>
        </w:rPr>
      </w:pPr>
      <w:r w:rsidRPr="00990BD2">
        <w:rPr>
          <w:rFonts w:ascii="Arial" w:eastAsia="Times New Roman" w:hAnsi="Arial" w:cs="Arial"/>
          <w:b/>
          <w:color w:val="000000" w:themeColor="text1"/>
          <w:sz w:val="28"/>
          <w:szCs w:val="28"/>
          <w:lang w:eastAsia="es-CO"/>
        </w:rPr>
        <w:t>DECRETA:</w:t>
      </w:r>
    </w:p>
    <w:p w:rsidR="0007322C" w:rsidRPr="00990BD2" w:rsidRDefault="0007322C" w:rsidP="0007322C">
      <w:pPr>
        <w:spacing w:before="100" w:beforeAutospacing="1" w:after="100" w:afterAutospacing="1" w:line="270" w:lineRule="atLeast"/>
        <w:jc w:val="both"/>
        <w:rPr>
          <w:rFonts w:ascii="Arial" w:eastAsia="Times New Roman" w:hAnsi="Arial" w:cs="Arial"/>
          <w:b/>
          <w:color w:val="000000" w:themeColor="text1"/>
          <w:sz w:val="28"/>
          <w:szCs w:val="28"/>
          <w:lang w:eastAsia="es-CO"/>
        </w:rPr>
      </w:pPr>
      <w:r w:rsidRPr="00990BD2">
        <w:rPr>
          <w:rFonts w:ascii="Arial" w:eastAsia="Times New Roman" w:hAnsi="Arial" w:cs="Arial"/>
          <w:b/>
          <w:color w:val="000000" w:themeColor="text1"/>
          <w:sz w:val="28"/>
          <w:szCs w:val="28"/>
          <w:lang w:eastAsia="es-CO"/>
        </w:rPr>
        <w:t>Artículo 1: modifíquese el artículo 361 de la Constitución Política de Colombia, quedará así:</w:t>
      </w:r>
    </w:p>
    <w:p w:rsidR="0007322C" w:rsidRPr="00E23EFB" w:rsidRDefault="0007322C" w:rsidP="0007322C">
      <w:pPr>
        <w:spacing w:before="100" w:beforeAutospacing="1" w:after="100" w:afterAutospacing="1" w:line="270" w:lineRule="atLeast"/>
        <w:jc w:val="both"/>
        <w:rPr>
          <w:rFonts w:ascii="Arial" w:eastAsia="Times New Roman" w:hAnsi="Arial" w:cs="Arial"/>
          <w:color w:val="000000" w:themeColor="text1"/>
          <w:sz w:val="28"/>
          <w:szCs w:val="28"/>
          <w:lang w:eastAsia="es-CO"/>
        </w:rPr>
      </w:pPr>
      <w:r w:rsidRPr="00990BD2">
        <w:rPr>
          <w:rFonts w:ascii="Arial" w:eastAsia="Times New Roman" w:hAnsi="Arial" w:cs="Arial"/>
          <w:b/>
          <w:color w:val="000000" w:themeColor="text1"/>
          <w:sz w:val="28"/>
          <w:szCs w:val="28"/>
          <w:lang w:eastAsia="es-CO"/>
        </w:rPr>
        <w:t>ARTICULO 361</w:t>
      </w:r>
      <w:r w:rsidRPr="00E23EFB">
        <w:rPr>
          <w:rFonts w:ascii="Arial" w:eastAsia="Times New Roman" w:hAnsi="Arial" w:cs="Arial"/>
          <w:color w:val="000000" w:themeColor="text1"/>
          <w:sz w:val="28"/>
          <w:szCs w:val="28"/>
          <w:lang w:eastAsia="es-CO"/>
        </w:rPr>
        <w:t xml:space="preserve">. Los ingresos del Sistema General de Regalías se destinarán al financiamiento de proyectos para el desarrollo social, económico y ambiental de las entidades territoriales; al ahorro para su pasivo pensional; para inversiones físicas en educación </w:t>
      </w:r>
      <w:r>
        <w:rPr>
          <w:rFonts w:ascii="Arial" w:eastAsia="Times New Roman" w:hAnsi="Arial" w:cs="Arial"/>
          <w:color w:val="000000" w:themeColor="text1"/>
          <w:sz w:val="28"/>
          <w:szCs w:val="28"/>
          <w:lang w:eastAsia="es-CO"/>
        </w:rPr>
        <w:t xml:space="preserve">en cualquier nivel del sistema educativo, </w:t>
      </w:r>
      <w:r w:rsidRPr="00E23EFB">
        <w:rPr>
          <w:rFonts w:ascii="Arial" w:eastAsia="Times New Roman" w:hAnsi="Arial" w:cs="Arial"/>
          <w:color w:val="000000" w:themeColor="text1"/>
          <w:sz w:val="28"/>
          <w:szCs w:val="28"/>
          <w:lang w:eastAsia="es-CO"/>
        </w:rPr>
        <w:t>para inversiones en ciencia, tecnología e innovación; para la generación de ahorro público; para la fiscalización de</w:t>
      </w:r>
      <w:r>
        <w:rPr>
          <w:rFonts w:ascii="Arial" w:eastAsia="Times New Roman" w:hAnsi="Arial" w:cs="Arial"/>
          <w:color w:val="000000" w:themeColor="text1"/>
          <w:sz w:val="28"/>
          <w:szCs w:val="28"/>
          <w:lang w:eastAsia="es-CO"/>
        </w:rPr>
        <w:t xml:space="preserve"> las regalías</w:t>
      </w:r>
      <w:r w:rsidRPr="00E23EFB">
        <w:rPr>
          <w:rFonts w:ascii="Arial" w:eastAsia="Times New Roman" w:hAnsi="Arial" w:cs="Arial"/>
          <w:color w:val="000000" w:themeColor="text1"/>
          <w:sz w:val="28"/>
          <w:szCs w:val="28"/>
          <w:lang w:eastAsia="es-CO"/>
        </w:rPr>
        <w:t xml:space="preserve"> </w:t>
      </w:r>
      <w:r>
        <w:rPr>
          <w:rFonts w:ascii="Arial" w:eastAsia="Times New Roman" w:hAnsi="Arial" w:cs="Arial"/>
          <w:color w:val="000000" w:themeColor="text1"/>
          <w:sz w:val="28"/>
          <w:szCs w:val="28"/>
          <w:lang w:eastAsia="es-CO"/>
        </w:rPr>
        <w:t xml:space="preserve">para </w:t>
      </w:r>
      <w:r w:rsidRPr="00E23EFB">
        <w:rPr>
          <w:rFonts w:ascii="Arial" w:eastAsia="Times New Roman" w:hAnsi="Arial" w:cs="Arial"/>
          <w:color w:val="000000" w:themeColor="text1"/>
          <w:sz w:val="28"/>
          <w:szCs w:val="28"/>
          <w:lang w:eastAsia="es-CO"/>
        </w:rPr>
        <w:t>la explotación de los yacimientos; y para aumentar la competitividad general de la economía buscando mejorar las condiciones sociales de la población.</w:t>
      </w:r>
    </w:p>
    <w:p w:rsidR="0007322C" w:rsidRPr="00281A48" w:rsidRDefault="0007322C" w:rsidP="0007322C">
      <w:pPr>
        <w:spacing w:before="100" w:beforeAutospacing="1" w:after="100" w:afterAutospacing="1" w:line="270" w:lineRule="atLeast"/>
        <w:jc w:val="both"/>
        <w:rPr>
          <w:rFonts w:ascii="Arial" w:eastAsia="Times New Roman" w:hAnsi="Arial" w:cs="Arial"/>
          <w:color w:val="000000" w:themeColor="text1"/>
          <w:sz w:val="28"/>
          <w:szCs w:val="28"/>
          <w:lang w:eastAsia="es-CO"/>
        </w:rPr>
      </w:pPr>
      <w:r w:rsidRPr="00281A48">
        <w:rPr>
          <w:rFonts w:ascii="Arial" w:eastAsia="Times New Roman" w:hAnsi="Arial" w:cs="Arial"/>
          <w:color w:val="000000" w:themeColor="text1"/>
          <w:sz w:val="28"/>
          <w:szCs w:val="28"/>
          <w:lang w:eastAsia="es-CO"/>
        </w:rPr>
        <w:t xml:space="preserve">Los departamentos, municipios y distritos en cuyo territorio se adelanten explotaciones de recursos naturales no renovables, así como los municipios y distritos con puertos marítimos y fluviales por donde se transporten dichos recursos o productos derivados de los mismos, tendrán derecho a participar en las regalías y compensaciones, así como </w:t>
      </w:r>
      <w:r>
        <w:rPr>
          <w:rFonts w:ascii="Arial" w:eastAsia="Times New Roman" w:hAnsi="Arial" w:cs="Arial"/>
          <w:color w:val="000000" w:themeColor="text1"/>
          <w:sz w:val="28"/>
          <w:szCs w:val="28"/>
          <w:lang w:eastAsia="es-CO"/>
        </w:rPr>
        <w:t xml:space="preserve">viabilizar, aprobar, </w:t>
      </w:r>
      <w:r w:rsidR="00EF796C">
        <w:rPr>
          <w:rFonts w:ascii="Arial" w:eastAsia="Times New Roman" w:hAnsi="Arial" w:cs="Arial"/>
          <w:color w:val="000000" w:themeColor="text1"/>
          <w:sz w:val="28"/>
          <w:szCs w:val="28"/>
          <w:lang w:eastAsia="es-CO"/>
        </w:rPr>
        <w:t>priorizar y</w:t>
      </w:r>
      <w:r w:rsidRPr="00281A48">
        <w:rPr>
          <w:rFonts w:ascii="Arial" w:eastAsia="Times New Roman" w:hAnsi="Arial" w:cs="Arial"/>
          <w:color w:val="000000" w:themeColor="text1"/>
          <w:sz w:val="28"/>
          <w:szCs w:val="28"/>
          <w:lang w:eastAsia="es-CO"/>
        </w:rPr>
        <w:t xml:space="preserve"> ejecutar directamente estos recursos.</w:t>
      </w:r>
    </w:p>
    <w:p w:rsidR="0007322C" w:rsidRPr="0023678C" w:rsidRDefault="0007322C" w:rsidP="0007322C">
      <w:pPr>
        <w:spacing w:before="100" w:beforeAutospacing="1" w:after="100" w:afterAutospacing="1" w:line="270" w:lineRule="atLeast"/>
        <w:jc w:val="both"/>
        <w:rPr>
          <w:rFonts w:ascii="Arial" w:eastAsia="Times New Roman" w:hAnsi="Arial" w:cs="Arial"/>
          <w:color w:val="000000" w:themeColor="text1"/>
          <w:sz w:val="28"/>
          <w:szCs w:val="28"/>
          <w:lang w:eastAsia="es-CO"/>
        </w:rPr>
      </w:pPr>
      <w:r w:rsidRPr="00281A48">
        <w:rPr>
          <w:rFonts w:ascii="Arial" w:eastAsia="Times New Roman" w:hAnsi="Arial" w:cs="Arial"/>
          <w:color w:val="000000" w:themeColor="text1"/>
          <w:sz w:val="28"/>
          <w:szCs w:val="28"/>
          <w:lang w:eastAsia="es-CO"/>
        </w:rPr>
        <w:t xml:space="preserve">Para efectos de cumplir con los objetivos y fines del Sistema General de Regalías, créanse los Fondos de Ciencia, Tecnología e Innovación; </w:t>
      </w:r>
      <w:r w:rsidRPr="00281A48">
        <w:rPr>
          <w:rFonts w:ascii="Arial" w:eastAsia="Times New Roman" w:hAnsi="Arial" w:cs="Arial"/>
          <w:color w:val="000000" w:themeColor="text1"/>
          <w:sz w:val="28"/>
          <w:szCs w:val="28"/>
          <w:lang w:eastAsia="es-CO"/>
        </w:rPr>
        <w:lastRenderedPageBreak/>
        <w:t>de Desarrollo Regional; de Compensación Regional; y de Ahorro y Estabilización.</w:t>
      </w:r>
      <w:r w:rsidRPr="0023678C">
        <w:rPr>
          <w:rFonts w:ascii="Arial" w:eastAsia="Times New Roman" w:hAnsi="Arial" w:cs="Arial"/>
          <w:color w:val="000000" w:themeColor="text1"/>
          <w:sz w:val="28"/>
          <w:szCs w:val="28"/>
          <w:lang w:eastAsia="es-CO"/>
        </w:rPr>
        <w:t xml:space="preserve"> </w:t>
      </w:r>
    </w:p>
    <w:p w:rsidR="0007322C" w:rsidRPr="0023678C" w:rsidRDefault="0007322C" w:rsidP="0007322C">
      <w:pPr>
        <w:spacing w:before="100" w:beforeAutospacing="1" w:after="100" w:afterAutospacing="1" w:line="270" w:lineRule="atLeast"/>
        <w:jc w:val="both"/>
        <w:rPr>
          <w:rFonts w:ascii="Arial" w:eastAsia="Times New Roman" w:hAnsi="Arial" w:cs="Arial"/>
          <w:color w:val="000000" w:themeColor="text1"/>
          <w:sz w:val="28"/>
          <w:szCs w:val="28"/>
          <w:lang w:eastAsia="es-CO"/>
        </w:rPr>
      </w:pPr>
      <w:r w:rsidRPr="00281A48">
        <w:rPr>
          <w:rFonts w:ascii="Arial" w:eastAsia="Times New Roman" w:hAnsi="Arial" w:cs="Arial"/>
          <w:color w:val="000000" w:themeColor="text1"/>
          <w:sz w:val="28"/>
          <w:szCs w:val="28"/>
          <w:lang w:eastAsia="es-CO"/>
        </w:rPr>
        <w:t xml:space="preserve">Los ingresos del Sistema General de Regalías se distribuirán así: un porcentaje equivalente al  </w:t>
      </w:r>
      <w:r>
        <w:rPr>
          <w:rFonts w:ascii="Arial" w:eastAsia="Times New Roman" w:hAnsi="Arial" w:cs="Arial"/>
          <w:color w:val="000000" w:themeColor="text1"/>
          <w:sz w:val="28"/>
          <w:szCs w:val="28"/>
          <w:lang w:eastAsia="es-CO"/>
        </w:rPr>
        <w:t xml:space="preserve">37% para las asignaciones directas; para el Fondo de Desarrollo Regional y el Fondo de Compensación Regional un porcentaje equivalente al 28%; </w:t>
      </w:r>
      <w:r w:rsidRPr="00281A48">
        <w:rPr>
          <w:rFonts w:ascii="Arial" w:eastAsia="Times New Roman" w:hAnsi="Arial" w:cs="Arial"/>
          <w:color w:val="000000" w:themeColor="text1"/>
          <w:sz w:val="28"/>
          <w:szCs w:val="28"/>
          <w:lang w:eastAsia="es-CO"/>
        </w:rPr>
        <w:t>para el Fondo de Ciencia, Tecnología e Innovación</w:t>
      </w:r>
      <w:r>
        <w:rPr>
          <w:rFonts w:ascii="Arial" w:eastAsia="Times New Roman" w:hAnsi="Arial" w:cs="Arial"/>
          <w:color w:val="000000" w:themeColor="text1"/>
          <w:sz w:val="28"/>
          <w:szCs w:val="28"/>
          <w:lang w:eastAsia="es-CO"/>
        </w:rPr>
        <w:t xml:space="preserve"> un porcentaje equivalente al 8%</w:t>
      </w:r>
      <w:r w:rsidRPr="00281A48">
        <w:rPr>
          <w:rFonts w:ascii="Arial" w:eastAsia="Times New Roman" w:hAnsi="Arial" w:cs="Arial"/>
          <w:color w:val="000000" w:themeColor="text1"/>
          <w:sz w:val="28"/>
          <w:szCs w:val="28"/>
          <w:lang w:eastAsia="es-CO"/>
        </w:rPr>
        <w:t xml:space="preserve">; un 10% para ahorro pensional territorial, un </w:t>
      </w:r>
      <w:r>
        <w:rPr>
          <w:rFonts w:ascii="Arial" w:eastAsia="Times New Roman" w:hAnsi="Arial" w:cs="Arial"/>
          <w:color w:val="000000" w:themeColor="text1"/>
          <w:sz w:val="28"/>
          <w:szCs w:val="28"/>
          <w:lang w:eastAsia="es-CO"/>
        </w:rPr>
        <w:t xml:space="preserve"> 14%</w:t>
      </w:r>
      <w:r w:rsidRPr="00281A48">
        <w:rPr>
          <w:rFonts w:ascii="Arial" w:eastAsia="Times New Roman" w:hAnsi="Arial" w:cs="Arial"/>
          <w:color w:val="000000" w:themeColor="text1"/>
          <w:sz w:val="28"/>
          <w:szCs w:val="28"/>
          <w:lang w:eastAsia="es-CO"/>
        </w:rPr>
        <w:t xml:space="preserve"> para el Fondo de Ahorro y Estabilización</w:t>
      </w:r>
      <w:r>
        <w:rPr>
          <w:rFonts w:ascii="Arial" w:eastAsia="Times New Roman" w:hAnsi="Arial" w:cs="Arial"/>
          <w:color w:val="000000" w:themeColor="text1"/>
          <w:sz w:val="28"/>
          <w:szCs w:val="28"/>
          <w:lang w:eastAsia="es-CO"/>
        </w:rPr>
        <w:t>; un porcentaje equivalente al 1% para el Sistema de Monitoreo, Seguimiento, Control y Evaluación de las Regalías que se crea en este artículo; Un porcentaje equivalente al 1% para el funcionamiento del Sistema General de Regalías; un porcentaje equivalente al 0.5% para Fiscalización de Regalías provenientes de la explotación de los yacimientos y; un porcentaje equivalente 0.5 para los municipios ribereños del Río Magdalena y Canal del Dique</w:t>
      </w:r>
      <w:r w:rsidRPr="00281A48">
        <w:rPr>
          <w:rFonts w:ascii="Arial" w:eastAsia="Times New Roman" w:hAnsi="Arial" w:cs="Arial"/>
          <w:color w:val="000000" w:themeColor="text1"/>
          <w:sz w:val="28"/>
          <w:szCs w:val="28"/>
          <w:lang w:eastAsia="es-CO"/>
        </w:rPr>
        <w:t>. Del total de los recursos destinados a</w:t>
      </w:r>
      <w:r>
        <w:rPr>
          <w:rFonts w:ascii="Arial" w:eastAsia="Times New Roman" w:hAnsi="Arial" w:cs="Arial"/>
          <w:color w:val="000000" w:themeColor="text1"/>
          <w:sz w:val="28"/>
          <w:szCs w:val="28"/>
          <w:lang w:eastAsia="es-CO"/>
        </w:rPr>
        <w:t xml:space="preserve"> los fondos de Desarrollo Regional y Compensación Regional</w:t>
      </w:r>
      <w:r w:rsidRPr="00281A48">
        <w:rPr>
          <w:rFonts w:ascii="Arial" w:eastAsia="Times New Roman" w:hAnsi="Arial" w:cs="Arial"/>
          <w:color w:val="000000" w:themeColor="text1"/>
          <w:sz w:val="28"/>
          <w:szCs w:val="28"/>
          <w:lang w:eastAsia="es-CO"/>
        </w:rPr>
        <w:t>, se destinará un porcentaje equivalente al 60% para el Fondo de Compensación Regional y un 40% para el Fondo de Desarrollo Regional.</w:t>
      </w:r>
      <w:r>
        <w:rPr>
          <w:rFonts w:ascii="Arial" w:eastAsia="Times New Roman" w:hAnsi="Arial" w:cs="Arial"/>
          <w:color w:val="000000" w:themeColor="text1"/>
          <w:sz w:val="28"/>
          <w:szCs w:val="28"/>
          <w:lang w:eastAsia="es-CO"/>
        </w:rPr>
        <w:t xml:space="preserve"> Del total de los recursos destinados a las asignaciones directas, se destinará un porcentaje equivalente al 80% para entes productores y el 20% para los puertos fluviales y marítimos. </w:t>
      </w:r>
      <w:r w:rsidRPr="0023678C">
        <w:rPr>
          <w:rFonts w:ascii="Arial" w:eastAsia="Times New Roman" w:hAnsi="Arial" w:cs="Arial"/>
          <w:color w:val="000000" w:themeColor="text1"/>
          <w:sz w:val="28"/>
          <w:szCs w:val="28"/>
          <w:lang w:eastAsia="es-CO"/>
        </w:rPr>
        <w:t xml:space="preserve"> </w:t>
      </w:r>
    </w:p>
    <w:p w:rsidR="0007322C" w:rsidRPr="00281A48" w:rsidRDefault="0007322C" w:rsidP="0007322C">
      <w:pPr>
        <w:spacing w:before="100" w:beforeAutospacing="1" w:after="100" w:afterAutospacing="1" w:line="270" w:lineRule="atLeast"/>
        <w:jc w:val="both"/>
        <w:rPr>
          <w:rFonts w:ascii="Arial" w:eastAsia="Times New Roman" w:hAnsi="Arial" w:cs="Arial"/>
          <w:color w:val="000000" w:themeColor="text1"/>
          <w:sz w:val="28"/>
          <w:szCs w:val="28"/>
          <w:lang w:eastAsia="es-CO"/>
        </w:rPr>
      </w:pPr>
      <w:r w:rsidRPr="00281A48">
        <w:rPr>
          <w:rFonts w:ascii="Arial" w:eastAsia="Times New Roman" w:hAnsi="Arial" w:cs="Arial"/>
          <w:color w:val="000000" w:themeColor="text1"/>
          <w:sz w:val="28"/>
          <w:szCs w:val="28"/>
          <w:lang w:eastAsia="es-CO"/>
        </w:rPr>
        <w:t xml:space="preserve">La función </w:t>
      </w:r>
      <w:r>
        <w:rPr>
          <w:rFonts w:ascii="Arial" w:eastAsia="Times New Roman" w:hAnsi="Arial" w:cs="Arial"/>
          <w:color w:val="000000" w:themeColor="text1"/>
          <w:sz w:val="28"/>
          <w:szCs w:val="28"/>
          <w:lang w:eastAsia="es-CO"/>
        </w:rPr>
        <w:t xml:space="preserve">de fiscalización </w:t>
      </w:r>
      <w:r w:rsidRPr="00281A48">
        <w:rPr>
          <w:rFonts w:ascii="Arial" w:eastAsia="Times New Roman" w:hAnsi="Arial" w:cs="Arial"/>
          <w:color w:val="000000" w:themeColor="text1"/>
          <w:sz w:val="28"/>
          <w:szCs w:val="28"/>
          <w:lang w:eastAsia="es-CO"/>
        </w:rPr>
        <w:t>aquí establecida será realizada por el Ministerio de Minas y Energía o por la entidad a quien este delegue.</w:t>
      </w:r>
    </w:p>
    <w:p w:rsidR="0007322C" w:rsidRPr="0023678C" w:rsidRDefault="0007322C" w:rsidP="0007322C">
      <w:pPr>
        <w:spacing w:before="100" w:beforeAutospacing="1" w:after="100" w:afterAutospacing="1" w:line="270" w:lineRule="atLeast"/>
        <w:jc w:val="both"/>
        <w:rPr>
          <w:rFonts w:ascii="Arial" w:eastAsia="Times New Roman" w:hAnsi="Arial" w:cs="Arial"/>
          <w:color w:val="000000" w:themeColor="text1"/>
          <w:sz w:val="28"/>
          <w:szCs w:val="28"/>
          <w:lang w:eastAsia="es-CO"/>
        </w:rPr>
      </w:pPr>
      <w:r w:rsidRPr="00281A48">
        <w:rPr>
          <w:rFonts w:ascii="Arial" w:eastAsia="Times New Roman" w:hAnsi="Arial" w:cs="Arial"/>
          <w:color w:val="000000" w:themeColor="text1"/>
          <w:sz w:val="28"/>
          <w:szCs w:val="28"/>
          <w:lang w:eastAsia="es-CO"/>
        </w:rPr>
        <w:t>Los Fondos de Ciencia, Tecnología e Innovación y de Desarrollo Regional tendrán como finalidad la financiación de proyectos regionales acordados entre las entidades territoriales y el Gobierno Nacional.</w:t>
      </w:r>
      <w:r w:rsidRPr="0023678C">
        <w:rPr>
          <w:rFonts w:ascii="Arial" w:eastAsia="Times New Roman" w:hAnsi="Arial" w:cs="Arial"/>
          <w:color w:val="000000" w:themeColor="text1"/>
          <w:sz w:val="28"/>
          <w:szCs w:val="28"/>
          <w:lang w:eastAsia="es-CO"/>
        </w:rPr>
        <w:t xml:space="preserve"> </w:t>
      </w:r>
    </w:p>
    <w:p w:rsidR="0007322C" w:rsidRPr="00281A48" w:rsidRDefault="0007322C" w:rsidP="0007322C">
      <w:pPr>
        <w:spacing w:before="100" w:beforeAutospacing="1" w:after="100" w:afterAutospacing="1" w:line="270" w:lineRule="atLeast"/>
        <w:jc w:val="both"/>
        <w:rPr>
          <w:rFonts w:ascii="Arial" w:eastAsia="Times New Roman" w:hAnsi="Arial" w:cs="Arial"/>
          <w:color w:val="000000" w:themeColor="text1"/>
          <w:sz w:val="28"/>
          <w:szCs w:val="28"/>
          <w:lang w:eastAsia="es-CO"/>
        </w:rPr>
      </w:pPr>
      <w:r w:rsidRPr="00281A48">
        <w:rPr>
          <w:rFonts w:ascii="Arial" w:eastAsia="Times New Roman" w:hAnsi="Arial" w:cs="Arial"/>
          <w:color w:val="000000" w:themeColor="text1"/>
          <w:sz w:val="28"/>
          <w:szCs w:val="28"/>
          <w:lang w:eastAsia="es-CO"/>
        </w:rPr>
        <w:t xml:space="preserve">Los recursos del Fondo de Compensación Regional se destinarán a la financiación de proyectos de impacto regional o local de desarrollo en las entidades territoriales más pobres del país, de acuerdo con criterios de Necesidades Básicas Insatisfechas (NBI), población y desempleo, y con prioridad en las zonas costeras, fronterizas y de periferia. La duración del Fondo de Compensación Regional será de treinta (30) </w:t>
      </w:r>
      <w:r w:rsidRPr="00281A48">
        <w:rPr>
          <w:rFonts w:ascii="Arial" w:eastAsia="Times New Roman" w:hAnsi="Arial" w:cs="Arial"/>
          <w:color w:val="000000" w:themeColor="text1"/>
          <w:sz w:val="28"/>
          <w:szCs w:val="28"/>
          <w:lang w:eastAsia="es-CO"/>
        </w:rPr>
        <w:lastRenderedPageBreak/>
        <w:t>años, contados a partir de la entrada en vigencia de la ley a la que se refiere el inciso 2o del artículo anterior. Transcurrido este período, estos recursos se destinarán al Fondo de Desarrollo Regional.</w:t>
      </w:r>
    </w:p>
    <w:p w:rsidR="0007322C" w:rsidRPr="00281A48" w:rsidRDefault="0007322C" w:rsidP="0007322C">
      <w:pPr>
        <w:spacing w:before="100" w:beforeAutospacing="1" w:after="100" w:afterAutospacing="1" w:line="270" w:lineRule="atLeast"/>
        <w:jc w:val="both"/>
        <w:rPr>
          <w:rFonts w:ascii="Arial" w:eastAsia="Times New Roman" w:hAnsi="Arial" w:cs="Arial"/>
          <w:color w:val="000000" w:themeColor="text1"/>
          <w:sz w:val="28"/>
          <w:szCs w:val="28"/>
          <w:lang w:eastAsia="es-CO"/>
        </w:rPr>
      </w:pPr>
      <w:r w:rsidRPr="00281A48">
        <w:rPr>
          <w:rFonts w:ascii="Arial" w:eastAsia="Times New Roman" w:hAnsi="Arial" w:cs="Arial"/>
          <w:color w:val="000000" w:themeColor="text1"/>
          <w:sz w:val="28"/>
          <w:szCs w:val="28"/>
          <w:lang w:eastAsia="es-CO"/>
        </w:rPr>
        <w:t>Los recursos del Fondo de Ahorro y Estabilización, así como sus rendimientos, serán administrados por el Banco de la República en los términos que establezca el Gobierno Nacional. En los períodos de desahorro, la distribución de estos recursos entre los demás componentes del Sistema se regirá por los criterios que defina la ley a la que se refiere el inciso 2o del artículo anterior.</w:t>
      </w:r>
    </w:p>
    <w:p w:rsidR="0007322C" w:rsidRPr="00281A48" w:rsidRDefault="0007322C" w:rsidP="0007322C">
      <w:pPr>
        <w:spacing w:before="100" w:beforeAutospacing="1" w:after="100" w:afterAutospacing="1" w:line="270" w:lineRule="atLeast"/>
        <w:jc w:val="both"/>
        <w:rPr>
          <w:rFonts w:ascii="Arial" w:eastAsia="Times New Roman" w:hAnsi="Arial" w:cs="Arial"/>
          <w:color w:val="000000" w:themeColor="text1"/>
          <w:sz w:val="28"/>
          <w:szCs w:val="28"/>
          <w:lang w:eastAsia="es-CO"/>
        </w:rPr>
      </w:pPr>
      <w:r w:rsidRPr="0023678C">
        <w:rPr>
          <w:rFonts w:ascii="Arial" w:eastAsia="Times New Roman" w:hAnsi="Arial" w:cs="Arial"/>
          <w:b/>
          <w:bCs/>
          <w:color w:val="000000" w:themeColor="text1"/>
          <w:sz w:val="28"/>
          <w:szCs w:val="28"/>
          <w:lang w:eastAsia="es-CO"/>
        </w:rPr>
        <w:t>PARÁGRAFO 1o.</w:t>
      </w:r>
      <w:r w:rsidRPr="00281A48">
        <w:rPr>
          <w:rFonts w:ascii="Arial" w:eastAsia="Times New Roman" w:hAnsi="Arial" w:cs="Arial"/>
          <w:color w:val="000000" w:themeColor="text1"/>
          <w:sz w:val="28"/>
          <w:szCs w:val="28"/>
          <w:lang w:eastAsia="es-CO"/>
        </w:rPr>
        <w:t> Los recursos del Sistema General de Regalías no harán parte del Presupuesto General de la Nación, ni del Sistema General de Participaciones. El Sistema General de Regalías tendrá su propio sistema presupuestal que se regirá por las normas contenidas en la ley a que se refiere el inciso 2o del artículo anterior. En todo caso, el Congreso de la República expedirá bianualmente el presupuesto del Sistema General de Regalías.</w:t>
      </w:r>
    </w:p>
    <w:p w:rsidR="0007322C" w:rsidRPr="00281A48" w:rsidRDefault="0007322C" w:rsidP="0007322C">
      <w:pPr>
        <w:spacing w:before="100" w:beforeAutospacing="1" w:after="100" w:afterAutospacing="1" w:line="270" w:lineRule="atLeast"/>
        <w:jc w:val="both"/>
        <w:rPr>
          <w:rFonts w:ascii="Arial" w:eastAsia="Times New Roman" w:hAnsi="Arial" w:cs="Arial"/>
          <w:color w:val="000000" w:themeColor="text1"/>
          <w:sz w:val="28"/>
          <w:szCs w:val="28"/>
          <w:lang w:eastAsia="es-CO"/>
        </w:rPr>
      </w:pPr>
      <w:r w:rsidRPr="0023678C">
        <w:rPr>
          <w:rFonts w:ascii="Arial" w:eastAsia="Times New Roman" w:hAnsi="Arial" w:cs="Arial"/>
          <w:b/>
          <w:bCs/>
          <w:color w:val="000000" w:themeColor="text1"/>
          <w:sz w:val="28"/>
          <w:szCs w:val="28"/>
          <w:lang w:eastAsia="es-CO"/>
        </w:rPr>
        <w:t>PARÁGRAFO 2o.</w:t>
      </w:r>
      <w:r w:rsidRPr="00281A48">
        <w:rPr>
          <w:rFonts w:ascii="Arial" w:eastAsia="Times New Roman" w:hAnsi="Arial" w:cs="Arial"/>
          <w:color w:val="000000" w:themeColor="text1"/>
          <w:sz w:val="28"/>
          <w:szCs w:val="28"/>
          <w:lang w:eastAsia="es-CO"/>
        </w:rPr>
        <w:t> La ejecución de los recursos correspondientes a las asignaciones directas de que trata el inciso 2o del presente artículo, así como de los recursos de los Fondos de Ciencia, Tecnología e Innovación; de Desarrollo Regional, y de Compensación Regional, se hará en concordancia con el Plan Nacional de Desarrollo y los planes de desarrollo de las entidades territoriales.</w:t>
      </w:r>
    </w:p>
    <w:p w:rsidR="0007322C" w:rsidRPr="00281A48" w:rsidRDefault="0007322C" w:rsidP="0007322C">
      <w:pPr>
        <w:spacing w:before="100" w:beforeAutospacing="1" w:after="100" w:afterAutospacing="1" w:line="270" w:lineRule="atLeast"/>
        <w:jc w:val="both"/>
        <w:rPr>
          <w:rFonts w:ascii="Arial" w:eastAsia="Times New Roman" w:hAnsi="Arial" w:cs="Arial"/>
          <w:color w:val="000000" w:themeColor="text1"/>
          <w:sz w:val="28"/>
          <w:szCs w:val="28"/>
          <w:lang w:eastAsia="es-CO"/>
        </w:rPr>
      </w:pPr>
      <w:r w:rsidRPr="00281A48">
        <w:rPr>
          <w:rFonts w:ascii="Arial" w:eastAsia="Times New Roman" w:hAnsi="Arial" w:cs="Arial"/>
          <w:color w:val="000000" w:themeColor="text1"/>
          <w:sz w:val="28"/>
          <w:szCs w:val="28"/>
          <w:lang w:eastAsia="es-CO"/>
        </w:rPr>
        <w:t xml:space="preserve">Los proyectos prioritarios que se financiarán con estos recursos, </w:t>
      </w:r>
      <w:r>
        <w:rPr>
          <w:rFonts w:ascii="Arial" w:eastAsia="Times New Roman" w:hAnsi="Arial" w:cs="Arial"/>
          <w:color w:val="000000" w:themeColor="text1"/>
          <w:sz w:val="28"/>
          <w:szCs w:val="28"/>
          <w:lang w:eastAsia="es-CO"/>
        </w:rPr>
        <w:t xml:space="preserve">salvo los de asignación directa, </w:t>
      </w:r>
      <w:r w:rsidRPr="00281A48">
        <w:rPr>
          <w:rFonts w:ascii="Arial" w:eastAsia="Times New Roman" w:hAnsi="Arial" w:cs="Arial"/>
          <w:color w:val="000000" w:themeColor="text1"/>
          <w:sz w:val="28"/>
          <w:szCs w:val="28"/>
          <w:lang w:eastAsia="es-CO"/>
        </w:rPr>
        <w:t>serán definidos por órganos colegiados de administración y decisión, de conformidad con lo establecido en la ley que regule el Sistema General de Regalías. Los programas y/o proyectos en ciencia tecnología e innovación de los departamentos, municipios y distritos que se financiarán con los recursos del Fondo de Ciencia, Tecnología e Innovación, se definirán por un órgano colegiado de administración y decisión, en el cual tendrán asiento el Gobierno Nacional, representado por tres (3) Ministros o sus delegados, un (1) representante del Organismo Nacional de Planeación y un (1) representante del Organismo Nacional encargado del manejo de la política pública de ciencia y tecnología e innovación, quien además ejercerá la Secretaría Técnica, un (1) Gobernador por cada una de las instancias de planeación regional a que se refiere el inciso siguiente del presente artículo; cuatro (4) representantes de las universidades públicas y dos (2) representantes de universidades privadas. Así mismo, los recursos de este Fondo de Ciencia, Tecnología e Innovación, se distribuirán en la misma proporción en que se distribuyan a los departamentos, los recursos de los Fondos de Compensación Regional y de Desarrollo Regional. En ningún caso los recursos de este fondo podrán financiar gasto corriente.</w:t>
      </w:r>
    </w:p>
    <w:p w:rsidR="0007322C" w:rsidRPr="00281A48" w:rsidRDefault="0007322C" w:rsidP="0007322C">
      <w:pPr>
        <w:spacing w:before="100" w:beforeAutospacing="1" w:after="100" w:afterAutospacing="1" w:line="270" w:lineRule="atLeast"/>
        <w:jc w:val="both"/>
        <w:rPr>
          <w:rFonts w:ascii="Arial" w:eastAsia="Times New Roman" w:hAnsi="Arial" w:cs="Arial"/>
          <w:color w:val="000000" w:themeColor="text1"/>
          <w:sz w:val="28"/>
          <w:szCs w:val="28"/>
          <w:lang w:eastAsia="es-CO"/>
        </w:rPr>
      </w:pPr>
      <w:r w:rsidRPr="00281A48">
        <w:rPr>
          <w:rFonts w:ascii="Arial" w:eastAsia="Times New Roman" w:hAnsi="Arial" w:cs="Arial"/>
          <w:color w:val="000000" w:themeColor="text1"/>
          <w:sz w:val="28"/>
          <w:szCs w:val="28"/>
          <w:lang w:eastAsia="es-CO"/>
        </w:rPr>
        <w:t>Los proyectos de impacto regional de los departamentos, municipios y distritos que se financiarán con los recursos de los Fondos de Desarrollo y Compensación Regional se definirán a través de ejercicios de planeación regional por órganos colegiados de administración y decisión donde tengan asiento cuatro (4) Ministros o sus delegados y un (1) representante del Organismo Nacional de Planeación, los gobernadores respectivos o sus delegados y un número representativo de alcaldes.</w:t>
      </w:r>
    </w:p>
    <w:p w:rsidR="0007322C" w:rsidRPr="0023678C" w:rsidRDefault="0007322C" w:rsidP="0007322C">
      <w:pPr>
        <w:spacing w:before="100" w:beforeAutospacing="1" w:after="100" w:afterAutospacing="1" w:line="270" w:lineRule="atLeast"/>
        <w:jc w:val="both"/>
        <w:rPr>
          <w:rFonts w:ascii="Arial" w:eastAsia="Times New Roman" w:hAnsi="Arial" w:cs="Arial"/>
          <w:color w:val="000000" w:themeColor="text1"/>
          <w:sz w:val="28"/>
          <w:szCs w:val="28"/>
          <w:lang w:eastAsia="es-CO"/>
        </w:rPr>
      </w:pPr>
      <w:r w:rsidRPr="00281A48">
        <w:rPr>
          <w:rFonts w:ascii="Arial" w:eastAsia="Times New Roman" w:hAnsi="Arial" w:cs="Arial"/>
          <w:color w:val="000000" w:themeColor="text1"/>
          <w:sz w:val="28"/>
          <w:szCs w:val="28"/>
          <w:lang w:eastAsia="es-CO"/>
        </w:rPr>
        <w:t>La ley que regule el Sistema General de Regalías, podrá crear comités de carácter consultivo para los órganos colegiados de administración y decisión con participación de la sociedad civil.</w:t>
      </w:r>
      <w:r w:rsidRPr="0023678C">
        <w:rPr>
          <w:rFonts w:ascii="Arial" w:eastAsia="Times New Roman" w:hAnsi="Arial" w:cs="Arial"/>
          <w:color w:val="000000" w:themeColor="text1"/>
          <w:sz w:val="28"/>
          <w:szCs w:val="28"/>
          <w:lang w:eastAsia="es-CO"/>
        </w:rPr>
        <w:t xml:space="preserve"> </w:t>
      </w:r>
    </w:p>
    <w:p w:rsidR="0007322C" w:rsidRPr="00281A48" w:rsidRDefault="0007322C" w:rsidP="0007322C">
      <w:pPr>
        <w:spacing w:before="100" w:beforeAutospacing="1" w:after="100" w:afterAutospacing="1" w:line="270" w:lineRule="atLeast"/>
        <w:jc w:val="both"/>
        <w:rPr>
          <w:rFonts w:ascii="Arial" w:eastAsia="Times New Roman" w:hAnsi="Arial" w:cs="Arial"/>
          <w:color w:val="000000" w:themeColor="text1"/>
          <w:sz w:val="28"/>
          <w:szCs w:val="28"/>
          <w:lang w:eastAsia="es-CO"/>
        </w:rPr>
      </w:pPr>
      <w:r w:rsidRPr="00281A48">
        <w:rPr>
          <w:rFonts w:ascii="Arial" w:eastAsia="Times New Roman" w:hAnsi="Arial" w:cs="Arial"/>
          <w:color w:val="000000" w:themeColor="text1"/>
          <w:sz w:val="28"/>
          <w:szCs w:val="28"/>
          <w:lang w:eastAsia="es-CO"/>
        </w:rPr>
        <w:t>En todo caso, la representación de las entidades territoriales en los órganos colegiados será mayoritaria, en relación con la del Gobierno Nacional.</w:t>
      </w:r>
    </w:p>
    <w:p w:rsidR="0007322C" w:rsidRPr="00281A48" w:rsidRDefault="0007322C" w:rsidP="0007322C">
      <w:pPr>
        <w:spacing w:before="100" w:beforeAutospacing="1" w:after="100" w:afterAutospacing="1" w:line="270" w:lineRule="atLeast"/>
        <w:jc w:val="both"/>
        <w:rPr>
          <w:rFonts w:ascii="Arial" w:eastAsia="Times New Roman" w:hAnsi="Arial" w:cs="Arial"/>
          <w:color w:val="000000" w:themeColor="text1"/>
          <w:sz w:val="28"/>
          <w:szCs w:val="28"/>
          <w:lang w:eastAsia="es-CO"/>
        </w:rPr>
      </w:pPr>
      <w:r w:rsidRPr="0023678C">
        <w:rPr>
          <w:rFonts w:ascii="Arial" w:eastAsia="Times New Roman" w:hAnsi="Arial" w:cs="Arial"/>
          <w:b/>
          <w:bCs/>
          <w:color w:val="000000" w:themeColor="text1"/>
          <w:sz w:val="28"/>
          <w:szCs w:val="28"/>
          <w:lang w:eastAsia="es-CO"/>
        </w:rPr>
        <w:t>PARÁGRAFO 3o.</w:t>
      </w:r>
      <w:r w:rsidRPr="00281A48">
        <w:rPr>
          <w:rFonts w:ascii="Arial" w:eastAsia="Times New Roman" w:hAnsi="Arial" w:cs="Arial"/>
          <w:color w:val="000000" w:themeColor="text1"/>
          <w:sz w:val="28"/>
          <w:szCs w:val="28"/>
          <w:lang w:eastAsia="es-CO"/>
        </w:rPr>
        <w:t> Créase el Sistema de Monitoreo, Seguimiento, Control y Evaluación de las Regalías, cuyo objeto será velar por el uso eficiente y eficaz de los recursos del Sistema General de Regalías, fortaleciendo la transparencia, la participación ciudadana y el Buen Gobierno.</w:t>
      </w:r>
    </w:p>
    <w:p w:rsidR="0007322C" w:rsidRPr="00281A48" w:rsidRDefault="0007322C" w:rsidP="0007322C">
      <w:pPr>
        <w:spacing w:before="100" w:beforeAutospacing="1" w:after="100" w:afterAutospacing="1" w:line="270" w:lineRule="atLeast"/>
        <w:jc w:val="both"/>
        <w:rPr>
          <w:rFonts w:ascii="Arial" w:eastAsia="Times New Roman" w:hAnsi="Arial" w:cs="Arial"/>
          <w:color w:val="000000" w:themeColor="text1"/>
          <w:sz w:val="28"/>
          <w:szCs w:val="28"/>
          <w:lang w:eastAsia="es-CO"/>
        </w:rPr>
      </w:pPr>
      <w:r w:rsidRPr="00281A48">
        <w:rPr>
          <w:rFonts w:ascii="Arial" w:eastAsia="Times New Roman" w:hAnsi="Arial" w:cs="Arial"/>
          <w:color w:val="000000" w:themeColor="text1"/>
          <w:sz w:val="28"/>
          <w:szCs w:val="28"/>
          <w:lang w:eastAsia="es-CO"/>
        </w:rPr>
        <w:t>La ley a la que se refiere el inciso 2o del artículo anterior, definirá su funcionamiento y el procedimiento para la imposición de medidas preventivas, correctivas y sancionatorias por el inadecuado uso de los recursos del Sistema General de Regalías. Dentro de estas medidas podrán aplicarse a los Departamentos, Municipios y/o Distritos y demás ejecutores la suspensión de giros, cancelación de proyectos y/o el reintegro de recursos.</w:t>
      </w:r>
    </w:p>
    <w:p w:rsidR="0007322C" w:rsidRPr="00281A48" w:rsidRDefault="0007322C" w:rsidP="0007322C">
      <w:pPr>
        <w:spacing w:before="100" w:beforeAutospacing="1" w:after="100" w:afterAutospacing="1" w:line="270" w:lineRule="atLeast"/>
        <w:jc w:val="both"/>
        <w:rPr>
          <w:rFonts w:ascii="Arial" w:eastAsia="Times New Roman" w:hAnsi="Arial" w:cs="Arial"/>
          <w:color w:val="000000" w:themeColor="text1"/>
          <w:sz w:val="28"/>
          <w:szCs w:val="28"/>
          <w:lang w:eastAsia="es-CO"/>
        </w:rPr>
      </w:pPr>
      <w:r w:rsidRPr="0023678C">
        <w:rPr>
          <w:rFonts w:ascii="Arial" w:eastAsia="Times New Roman" w:hAnsi="Arial" w:cs="Arial"/>
          <w:b/>
          <w:bCs/>
          <w:color w:val="000000" w:themeColor="text1"/>
          <w:sz w:val="28"/>
          <w:szCs w:val="28"/>
          <w:lang w:eastAsia="es-CO"/>
        </w:rPr>
        <w:t>PARÁGRAFO 4o.</w:t>
      </w:r>
      <w:r w:rsidRPr="00281A48">
        <w:rPr>
          <w:rFonts w:ascii="Arial" w:eastAsia="Times New Roman" w:hAnsi="Arial" w:cs="Arial"/>
          <w:color w:val="000000" w:themeColor="text1"/>
          <w:sz w:val="28"/>
          <w:szCs w:val="28"/>
          <w:lang w:eastAsia="es-CO"/>
        </w:rPr>
        <w:t> &lt;Parágrafo adicionado por el artículo </w:t>
      </w:r>
      <w:hyperlink r:id="rId8" w:anchor="1" w:history="1">
        <w:r w:rsidRPr="0023678C">
          <w:rPr>
            <w:rFonts w:ascii="Arial" w:eastAsia="Times New Roman" w:hAnsi="Arial" w:cs="Arial"/>
            <w:color w:val="000000" w:themeColor="text1"/>
            <w:sz w:val="28"/>
            <w:szCs w:val="28"/>
            <w:lang w:eastAsia="es-CO"/>
          </w:rPr>
          <w:t>1</w:t>
        </w:r>
      </w:hyperlink>
      <w:r w:rsidRPr="00281A48">
        <w:rPr>
          <w:rFonts w:ascii="Arial" w:eastAsia="Times New Roman" w:hAnsi="Arial" w:cs="Arial"/>
          <w:color w:val="000000" w:themeColor="text1"/>
          <w:sz w:val="28"/>
          <w:szCs w:val="28"/>
          <w:lang w:eastAsia="es-CO"/>
        </w:rPr>
        <w:t> del Acto Legislativo 4 de 2017. El nuevo texto es el siguiente:&gt; Cuando una entidad territorial que recibe recursos del Sistema General de Regalías para el ahorro pensional territorial cubra sus pasivos pensionales, destinará los recursos provenientes de esta fuente a la financiación de proyectos de inversión. Durante los veinte (20) años siguientes a la entrada en vigencia del presente acto legislativo, estos proyectos deberán tener como objeto la implementación del Acuerdo Final para la Terminación del Conflicto y la Construcción de una Paz Estable y Duradera, incluyendo la financiación de proyectos destinados a la reparación integral de víctimas. Estos proyectos deberán ser definidos, por el Órgano Colegiado de Administración y Decisión de que trata el parágrafo 7 transitorio del artículo </w:t>
      </w:r>
      <w:hyperlink r:id="rId9" w:anchor="2" w:history="1">
        <w:r w:rsidRPr="0023678C">
          <w:rPr>
            <w:rFonts w:ascii="Arial" w:eastAsia="Times New Roman" w:hAnsi="Arial" w:cs="Arial"/>
            <w:color w:val="000000" w:themeColor="text1"/>
            <w:sz w:val="28"/>
            <w:szCs w:val="28"/>
            <w:lang w:eastAsia="es-CO"/>
          </w:rPr>
          <w:t>2o</w:t>
        </w:r>
      </w:hyperlink>
      <w:r w:rsidRPr="00281A48">
        <w:rPr>
          <w:rFonts w:ascii="Arial" w:eastAsia="Times New Roman" w:hAnsi="Arial" w:cs="Arial"/>
          <w:color w:val="000000" w:themeColor="text1"/>
          <w:sz w:val="28"/>
          <w:szCs w:val="28"/>
          <w:lang w:eastAsia="es-CO"/>
        </w:rPr>
        <w:t> del presente acto legislativo; con posterioridad a los veinte (20) años, dichos proyectos deberán ser definidos por los Órganos Colegiados de Administración y Decisión Municipales y Departamentales que trata el parágrafo 2 del presente artículo.</w:t>
      </w:r>
    </w:p>
    <w:p w:rsidR="0007322C" w:rsidRPr="00281A48" w:rsidRDefault="0007322C" w:rsidP="0007322C">
      <w:pPr>
        <w:spacing w:before="100" w:beforeAutospacing="1" w:after="100" w:afterAutospacing="1" w:line="270" w:lineRule="atLeast"/>
        <w:jc w:val="both"/>
        <w:rPr>
          <w:rFonts w:ascii="Arial" w:eastAsia="Times New Roman" w:hAnsi="Arial" w:cs="Arial"/>
          <w:color w:val="000000" w:themeColor="text1"/>
          <w:sz w:val="28"/>
          <w:szCs w:val="28"/>
          <w:lang w:eastAsia="es-CO"/>
        </w:rPr>
      </w:pPr>
      <w:r w:rsidRPr="00281A48">
        <w:rPr>
          <w:rFonts w:ascii="Arial" w:eastAsia="Times New Roman" w:hAnsi="Arial" w:cs="Arial"/>
          <w:color w:val="000000" w:themeColor="text1"/>
          <w:sz w:val="28"/>
          <w:szCs w:val="28"/>
          <w:lang w:eastAsia="es-CO"/>
        </w:rPr>
        <w:t>Las entidades territoriales que a la fecha de entrada en vigencia del presente Acto Legislativo cuenten con recursos de ahorro pensional provenientes del Sistema General de Regalías, que sobrepasen el cubrimiento requerido de sus pasivos pensionales, los destinarán igualmente a la financiación de proyectos de inversión en los términos señalados en el inciso anterior.</w:t>
      </w:r>
    </w:p>
    <w:p w:rsidR="0007322C" w:rsidRPr="00281A48" w:rsidRDefault="0007322C" w:rsidP="0007322C">
      <w:pPr>
        <w:spacing w:before="100" w:beforeAutospacing="1" w:after="100" w:afterAutospacing="1" w:line="270" w:lineRule="atLeast"/>
        <w:jc w:val="both"/>
        <w:rPr>
          <w:rFonts w:ascii="Arial" w:eastAsia="Times New Roman" w:hAnsi="Arial" w:cs="Arial"/>
          <w:color w:val="000000" w:themeColor="text1"/>
          <w:sz w:val="28"/>
          <w:szCs w:val="28"/>
          <w:lang w:eastAsia="es-CO"/>
        </w:rPr>
      </w:pPr>
      <w:r w:rsidRPr="00281A48">
        <w:rPr>
          <w:rFonts w:ascii="Arial" w:eastAsia="Times New Roman" w:hAnsi="Arial" w:cs="Arial"/>
          <w:color w:val="000000" w:themeColor="text1"/>
          <w:sz w:val="28"/>
          <w:szCs w:val="28"/>
          <w:lang w:eastAsia="es-CO"/>
        </w:rPr>
        <w:t>El Gobierno nacional, mediante decreto con fuerza de ley, que expedirá dentro de los seis (6) meses siguientes a la entrada en vigencia del presente acto legislativo, reglamentará la materia.</w:t>
      </w:r>
    </w:p>
    <w:p w:rsidR="0007322C" w:rsidRPr="0023678C" w:rsidRDefault="0007322C" w:rsidP="0007322C">
      <w:pPr>
        <w:spacing w:before="100" w:beforeAutospacing="1" w:after="100" w:afterAutospacing="1" w:line="270" w:lineRule="atLeast"/>
        <w:jc w:val="both"/>
        <w:rPr>
          <w:rFonts w:ascii="Arial" w:eastAsia="Times New Roman" w:hAnsi="Arial" w:cs="Arial"/>
          <w:b/>
          <w:bCs/>
          <w:color w:val="000000" w:themeColor="text1"/>
          <w:sz w:val="28"/>
          <w:szCs w:val="28"/>
          <w:lang w:eastAsia="es-CO"/>
        </w:rPr>
      </w:pPr>
      <w:r w:rsidRPr="00281A48">
        <w:rPr>
          <w:rFonts w:ascii="Arial" w:eastAsia="Times New Roman" w:hAnsi="Arial" w:cs="Arial"/>
          <w:color w:val="000000" w:themeColor="text1"/>
          <w:sz w:val="28"/>
          <w:szCs w:val="28"/>
          <w:lang w:eastAsia="es-CO"/>
        </w:rPr>
        <w:t>Para las entidades territoriales con una baja o nula incidencia del conflicto armado, los proyectos deberán ser aprobados por los Órganos Colegiados de Administración y decisión municipales y departamentales que trata el parágrafo 2 del presente artículo, y serán destinados prioritariamente para la reparación integral a las víctimas o para el cierre de brechas.</w:t>
      </w:r>
      <w:r w:rsidRPr="0023678C">
        <w:rPr>
          <w:rFonts w:ascii="Arial" w:eastAsia="Times New Roman" w:hAnsi="Arial" w:cs="Arial"/>
          <w:b/>
          <w:bCs/>
          <w:color w:val="000000" w:themeColor="text1"/>
          <w:sz w:val="28"/>
          <w:szCs w:val="28"/>
          <w:lang w:eastAsia="es-CO"/>
        </w:rPr>
        <w:t xml:space="preserve"> </w:t>
      </w:r>
    </w:p>
    <w:p w:rsidR="0007322C" w:rsidRPr="00281A48" w:rsidRDefault="0007322C" w:rsidP="0007322C">
      <w:pPr>
        <w:spacing w:before="100" w:beforeAutospacing="1" w:after="100" w:afterAutospacing="1" w:line="270" w:lineRule="atLeast"/>
        <w:jc w:val="both"/>
        <w:rPr>
          <w:rFonts w:ascii="Arial" w:eastAsia="Times New Roman" w:hAnsi="Arial" w:cs="Arial"/>
          <w:color w:val="000000" w:themeColor="text1"/>
          <w:sz w:val="28"/>
          <w:szCs w:val="28"/>
          <w:lang w:eastAsia="es-CO"/>
        </w:rPr>
      </w:pPr>
      <w:r w:rsidRPr="0023678C">
        <w:rPr>
          <w:rFonts w:ascii="Arial" w:eastAsia="Times New Roman" w:hAnsi="Arial" w:cs="Arial"/>
          <w:b/>
          <w:bCs/>
          <w:color w:val="000000" w:themeColor="text1"/>
          <w:sz w:val="28"/>
          <w:szCs w:val="28"/>
          <w:lang w:eastAsia="es-CO"/>
        </w:rPr>
        <w:t>PARÁGRAFO 5o.</w:t>
      </w:r>
      <w:r w:rsidRPr="00281A48">
        <w:rPr>
          <w:rFonts w:ascii="Arial" w:eastAsia="Times New Roman" w:hAnsi="Arial" w:cs="Arial"/>
          <w:color w:val="000000" w:themeColor="text1"/>
          <w:sz w:val="28"/>
          <w:szCs w:val="28"/>
          <w:lang w:eastAsia="es-CO"/>
        </w:rPr>
        <w:t> &lt;Parágrafo adicionado por el artículo </w:t>
      </w:r>
      <w:hyperlink r:id="rId10" w:anchor="1" w:history="1">
        <w:r w:rsidRPr="0023678C">
          <w:rPr>
            <w:rFonts w:ascii="Arial" w:eastAsia="Times New Roman" w:hAnsi="Arial" w:cs="Arial"/>
            <w:color w:val="000000" w:themeColor="text1"/>
            <w:sz w:val="28"/>
            <w:szCs w:val="28"/>
            <w:lang w:eastAsia="es-CO"/>
          </w:rPr>
          <w:t>1</w:t>
        </w:r>
      </w:hyperlink>
      <w:r w:rsidRPr="00281A48">
        <w:rPr>
          <w:rFonts w:ascii="Arial" w:eastAsia="Times New Roman" w:hAnsi="Arial" w:cs="Arial"/>
          <w:color w:val="000000" w:themeColor="text1"/>
          <w:sz w:val="28"/>
          <w:szCs w:val="28"/>
          <w:lang w:eastAsia="es-CO"/>
        </w:rPr>
        <w:t> del Acto Legislativo 4 de 2017. El nuevo texto es el siguiente:&gt; Los programas o proyectos de inversión que se financiarán con los recursos del Fondo de Ciencia, Tecnología e Innovación, serán definidos por el respectivo Órgano Colegiado de Administración y Decisión, a través de convocatorias públicas abiertas y competitivas, articuladas con los correspondientes planes de desarrollo. Para la presentación y ejecución de los proyectos la entidad deberá ser parte del Sistema Nacional de Ciencia, Tecnología e Innovación. Los programas o proyectos aprobados serán ejecutados por las entidades que los presentaron en la convocatoria.</w:t>
      </w:r>
    </w:p>
    <w:p w:rsidR="0007322C" w:rsidRPr="0023678C" w:rsidRDefault="0007322C" w:rsidP="0007322C">
      <w:pPr>
        <w:spacing w:before="100" w:beforeAutospacing="1" w:after="100" w:afterAutospacing="1" w:line="270" w:lineRule="atLeast"/>
        <w:jc w:val="both"/>
        <w:rPr>
          <w:rFonts w:ascii="Arial" w:eastAsia="Times New Roman" w:hAnsi="Arial" w:cs="Arial"/>
          <w:color w:val="000000" w:themeColor="text1"/>
          <w:sz w:val="28"/>
          <w:szCs w:val="28"/>
          <w:lang w:eastAsia="es-CO"/>
        </w:rPr>
      </w:pPr>
      <w:r w:rsidRPr="00281A48">
        <w:rPr>
          <w:rFonts w:ascii="Arial" w:eastAsia="Times New Roman" w:hAnsi="Arial" w:cs="Arial"/>
          <w:color w:val="000000" w:themeColor="text1"/>
          <w:sz w:val="28"/>
          <w:szCs w:val="28"/>
          <w:lang w:eastAsia="es-CO"/>
        </w:rPr>
        <w:t>Lo establecido en el presente parágrafo regirá desde la entrada en vigencia de la ley que lo reglamente.</w:t>
      </w:r>
    </w:p>
    <w:p w:rsidR="0007322C" w:rsidRDefault="0007322C" w:rsidP="0007322C">
      <w:pPr>
        <w:spacing w:before="100" w:beforeAutospacing="1" w:after="100" w:afterAutospacing="1" w:line="270" w:lineRule="atLeast"/>
        <w:jc w:val="both"/>
        <w:rPr>
          <w:rFonts w:ascii="Arial" w:eastAsia="Times New Roman" w:hAnsi="Arial" w:cs="Arial"/>
          <w:color w:val="000000" w:themeColor="text1"/>
          <w:sz w:val="28"/>
          <w:szCs w:val="28"/>
          <w:lang w:eastAsia="es-CO"/>
        </w:rPr>
      </w:pPr>
      <w:r w:rsidRPr="0023678C">
        <w:rPr>
          <w:rFonts w:ascii="Arial" w:eastAsia="Times New Roman" w:hAnsi="Arial" w:cs="Arial"/>
          <w:b/>
          <w:bCs/>
          <w:color w:val="000000" w:themeColor="text1"/>
          <w:sz w:val="28"/>
          <w:szCs w:val="28"/>
          <w:lang w:eastAsia="es-CO"/>
        </w:rPr>
        <w:t>PARÁGRAFO 1o. TRANSITORIO.</w:t>
      </w:r>
      <w:r w:rsidRPr="00281A48">
        <w:rPr>
          <w:rFonts w:ascii="Arial" w:eastAsia="Times New Roman" w:hAnsi="Arial" w:cs="Arial"/>
          <w:color w:val="000000" w:themeColor="text1"/>
          <w:sz w:val="28"/>
          <w:szCs w:val="28"/>
          <w:lang w:eastAsia="es-CO"/>
        </w:rPr>
        <w:t> Suprímase el Fondo Nacional de Regalías a partir de la fecha que determine la ley a la que se refiere el inciso 2o del artículo anterior. El Gobierno Nacional designará al liquidador y definirá el procedimiento y el plazo para la liquidación. Los recursos no comprometidos que posea el Fondo Nacional de Regalías a la entrada en vigencia del presente Acto Legislativo, se destinarán prioritariamente a la reconstrucción de la infraestructura vial del país y a la recuperación ambiental de las zonas afectadas por la emergencia invernal de 20</w:t>
      </w:r>
      <w:r>
        <w:rPr>
          <w:rFonts w:ascii="Arial" w:eastAsia="Times New Roman" w:hAnsi="Arial" w:cs="Arial"/>
          <w:color w:val="000000" w:themeColor="text1"/>
          <w:sz w:val="28"/>
          <w:szCs w:val="28"/>
          <w:lang w:eastAsia="es-CO"/>
        </w:rPr>
        <w:t>10-2011.</w:t>
      </w:r>
    </w:p>
    <w:p w:rsidR="0007322C" w:rsidRPr="00281A48" w:rsidRDefault="0007322C" w:rsidP="0007322C">
      <w:pPr>
        <w:spacing w:before="100" w:beforeAutospacing="1" w:after="100" w:afterAutospacing="1" w:line="270" w:lineRule="atLeast"/>
        <w:jc w:val="both"/>
        <w:rPr>
          <w:rFonts w:ascii="Arial" w:eastAsia="Times New Roman" w:hAnsi="Arial" w:cs="Arial"/>
          <w:color w:val="000000" w:themeColor="text1"/>
          <w:sz w:val="28"/>
          <w:szCs w:val="28"/>
          <w:lang w:eastAsia="es-CO"/>
        </w:rPr>
      </w:pPr>
      <w:r w:rsidRPr="0023678C">
        <w:rPr>
          <w:rFonts w:ascii="Arial" w:eastAsia="Times New Roman" w:hAnsi="Arial" w:cs="Arial"/>
          <w:b/>
          <w:bCs/>
          <w:color w:val="000000" w:themeColor="text1"/>
          <w:sz w:val="28"/>
          <w:szCs w:val="28"/>
          <w:lang w:eastAsia="es-CO"/>
        </w:rPr>
        <w:t xml:space="preserve">PARÁGRAFO </w:t>
      </w:r>
      <w:r>
        <w:rPr>
          <w:rFonts w:ascii="Arial" w:eastAsia="Times New Roman" w:hAnsi="Arial" w:cs="Arial"/>
          <w:b/>
          <w:bCs/>
          <w:color w:val="000000" w:themeColor="text1"/>
          <w:sz w:val="28"/>
          <w:szCs w:val="28"/>
          <w:lang w:eastAsia="es-CO"/>
        </w:rPr>
        <w:t xml:space="preserve"> 2o</w:t>
      </w:r>
      <w:r w:rsidRPr="0023678C">
        <w:rPr>
          <w:rFonts w:ascii="Arial" w:eastAsia="Times New Roman" w:hAnsi="Arial" w:cs="Arial"/>
          <w:b/>
          <w:bCs/>
          <w:color w:val="000000" w:themeColor="text1"/>
          <w:sz w:val="28"/>
          <w:szCs w:val="28"/>
          <w:lang w:eastAsia="es-CO"/>
        </w:rPr>
        <w:t>. TRANSITORIO.</w:t>
      </w:r>
      <w:r w:rsidRPr="00281A48">
        <w:rPr>
          <w:rFonts w:ascii="Arial" w:eastAsia="Times New Roman" w:hAnsi="Arial" w:cs="Arial"/>
          <w:color w:val="000000" w:themeColor="text1"/>
          <w:sz w:val="28"/>
          <w:szCs w:val="28"/>
          <w:lang w:eastAsia="es-CO"/>
        </w:rPr>
        <w:t> &lt;Parágrafo adicionado por el artículo </w:t>
      </w:r>
      <w:hyperlink r:id="rId11" w:anchor="2" w:history="1">
        <w:r w:rsidRPr="0023678C">
          <w:rPr>
            <w:rFonts w:ascii="Arial" w:eastAsia="Times New Roman" w:hAnsi="Arial" w:cs="Arial"/>
            <w:color w:val="000000" w:themeColor="text1"/>
            <w:sz w:val="28"/>
            <w:szCs w:val="28"/>
            <w:lang w:eastAsia="es-CO"/>
          </w:rPr>
          <w:t>2</w:t>
        </w:r>
      </w:hyperlink>
      <w:r w:rsidRPr="00281A48">
        <w:rPr>
          <w:rFonts w:ascii="Arial" w:eastAsia="Times New Roman" w:hAnsi="Arial" w:cs="Arial"/>
          <w:color w:val="000000" w:themeColor="text1"/>
          <w:sz w:val="28"/>
          <w:szCs w:val="28"/>
          <w:lang w:eastAsia="es-CO"/>
        </w:rPr>
        <w:t> del Acto Legislativo 4 de 2017. El nuevo texto es el siguiente:&gt; Durante los veinte (20) años siguientes a la entrada en vigencia del presente acto legislativo, un 7% de los ingresos del Sistema General de Regalías se destinarán a una asignación para la Paz que tendrá como objeto financiar proyectos de inversión para la implementación del Acuerdo Final para la Terminación del Conflicto y la Construcción de una Paz Estable y Duradera, incluyendo la financiación de proyectos destinados a la reparación de víctimas.</w:t>
      </w:r>
    </w:p>
    <w:p w:rsidR="0007322C" w:rsidRPr="00281A48" w:rsidRDefault="0007322C" w:rsidP="0007322C">
      <w:pPr>
        <w:spacing w:before="100" w:beforeAutospacing="1" w:after="100" w:afterAutospacing="1" w:line="270" w:lineRule="atLeast"/>
        <w:jc w:val="both"/>
        <w:rPr>
          <w:rFonts w:ascii="Arial" w:eastAsia="Times New Roman" w:hAnsi="Arial" w:cs="Arial"/>
          <w:color w:val="000000" w:themeColor="text1"/>
          <w:sz w:val="28"/>
          <w:szCs w:val="28"/>
          <w:lang w:eastAsia="es-CO"/>
        </w:rPr>
      </w:pPr>
      <w:r w:rsidRPr="00281A48">
        <w:rPr>
          <w:rFonts w:ascii="Arial" w:eastAsia="Times New Roman" w:hAnsi="Arial" w:cs="Arial"/>
          <w:color w:val="000000" w:themeColor="text1"/>
          <w:sz w:val="28"/>
          <w:szCs w:val="28"/>
          <w:lang w:eastAsia="es-CO"/>
        </w:rPr>
        <w:t>Igual destinación tendrá el 70% de los ingresos que por rendimientos financieros genere el Sistema General de Regalías en estos años, con excepción de los generados por las asignaciones directas de que trata el inciso segundo del presente artículo. El 30% restante se destinará para incentivar la producción de municipios, en cuyos territorios se exploten los recursos naturales no renovables y a los municipios y distritos con puertos marítimos y fluviales por donde se transporten dichos recursos o derivados de los mismos.</w:t>
      </w:r>
    </w:p>
    <w:p w:rsidR="0007322C" w:rsidRPr="00281A48" w:rsidRDefault="0007322C" w:rsidP="0007322C">
      <w:pPr>
        <w:spacing w:before="100" w:beforeAutospacing="1" w:after="100" w:afterAutospacing="1" w:line="270" w:lineRule="atLeast"/>
        <w:jc w:val="both"/>
        <w:rPr>
          <w:rFonts w:ascii="Arial" w:eastAsia="Times New Roman" w:hAnsi="Arial" w:cs="Arial"/>
          <w:color w:val="000000" w:themeColor="text1"/>
          <w:sz w:val="28"/>
          <w:szCs w:val="28"/>
          <w:lang w:eastAsia="es-CO"/>
        </w:rPr>
      </w:pPr>
      <w:r w:rsidRPr="00281A48">
        <w:rPr>
          <w:rFonts w:ascii="Arial" w:eastAsia="Times New Roman" w:hAnsi="Arial" w:cs="Arial"/>
          <w:color w:val="000000" w:themeColor="text1"/>
          <w:sz w:val="28"/>
          <w:szCs w:val="28"/>
          <w:lang w:eastAsia="es-CO"/>
        </w:rPr>
        <w:t>Durante este período, la asignación para ahorro pensional territorial será del 7% de los ingresos del Sistema General de Regalías</w:t>
      </w:r>
      <w:r>
        <w:rPr>
          <w:rFonts w:ascii="Arial" w:eastAsia="Times New Roman" w:hAnsi="Arial" w:cs="Arial"/>
          <w:color w:val="000000" w:themeColor="text1"/>
          <w:sz w:val="28"/>
          <w:szCs w:val="28"/>
          <w:lang w:eastAsia="es-CO"/>
        </w:rPr>
        <w:t xml:space="preserve"> y para el Fondo de Ahorro y Estabilización será del 10%, la diferencia de los porcentajes definidos en el inciso 4 del presente artículo de los fondos citados, con los porcentajes definidos transitoriamente en el presente inciso, serán invertidos para la paz</w:t>
      </w:r>
      <w:r w:rsidRPr="00281A48">
        <w:rPr>
          <w:rFonts w:ascii="Arial" w:eastAsia="Times New Roman" w:hAnsi="Arial" w:cs="Arial"/>
          <w:color w:val="000000" w:themeColor="text1"/>
          <w:sz w:val="28"/>
          <w:szCs w:val="28"/>
          <w:lang w:eastAsia="es-CO"/>
        </w:rPr>
        <w:t>. Los recursos a los que se refieren los incisos 1 y 2 de este parágrafo, se distribuirán priorizando las entidades territoriales más afectadas por la pobreza rural, las economías ilegales, la debilidad institucional, el conflicto armado y los municipios en cuyo territorio se adelanten explotaciones de recursos naturales no renovables y se orientarán a cerrar las brechas sociales, económicas e institucionales en dichas entidades territoriales.</w:t>
      </w:r>
    </w:p>
    <w:p w:rsidR="0007322C" w:rsidRPr="00281A48" w:rsidRDefault="0007322C" w:rsidP="0007322C">
      <w:pPr>
        <w:spacing w:before="100" w:beforeAutospacing="1" w:after="100" w:afterAutospacing="1" w:line="270" w:lineRule="atLeast"/>
        <w:jc w:val="both"/>
        <w:rPr>
          <w:rFonts w:ascii="Arial" w:eastAsia="Times New Roman" w:hAnsi="Arial" w:cs="Arial"/>
          <w:color w:val="000000" w:themeColor="text1"/>
          <w:sz w:val="28"/>
          <w:szCs w:val="28"/>
          <w:lang w:eastAsia="es-CO"/>
        </w:rPr>
      </w:pPr>
      <w:r w:rsidRPr="00281A48">
        <w:rPr>
          <w:rFonts w:ascii="Arial" w:eastAsia="Times New Roman" w:hAnsi="Arial" w:cs="Arial"/>
          <w:color w:val="000000" w:themeColor="text1"/>
          <w:sz w:val="28"/>
          <w:szCs w:val="28"/>
          <w:lang w:eastAsia="es-CO"/>
        </w:rPr>
        <w:t>Los proyectos de inversión a ser financiados con los recursos a los que se refieren los incisos 1 y 2 de este parágrafo, serán definidos por un Órgano Colegiado de Administración y Decisión, en el cual tendrán asiento el Gobierno nacional, representado por el Ministro de Hacienda y Crédito Público o su delegado, un (1) representante del organismo nacional de planeación, y un (1) representante del Presidente de la República; el Gobierno departamental representado por dos (2) Gobernadores y el Gobierno municipal, representado por dos (2) alcaldes.</w:t>
      </w:r>
    </w:p>
    <w:p w:rsidR="0007322C" w:rsidRPr="00990BD2" w:rsidRDefault="0007322C" w:rsidP="0007322C">
      <w:pPr>
        <w:spacing w:before="100" w:beforeAutospacing="1" w:after="100" w:afterAutospacing="1" w:line="270" w:lineRule="atLeast"/>
        <w:jc w:val="both"/>
        <w:rPr>
          <w:rFonts w:ascii="Arial" w:eastAsia="Times New Roman" w:hAnsi="Arial" w:cs="Arial"/>
          <w:color w:val="000000" w:themeColor="text1"/>
          <w:sz w:val="28"/>
          <w:szCs w:val="28"/>
          <w:lang w:eastAsia="es-CO"/>
        </w:rPr>
      </w:pPr>
      <w:r w:rsidRPr="00281A48">
        <w:rPr>
          <w:rFonts w:ascii="Arial" w:eastAsia="Times New Roman" w:hAnsi="Arial" w:cs="Arial"/>
          <w:color w:val="000000" w:themeColor="text1"/>
          <w:sz w:val="28"/>
          <w:szCs w:val="28"/>
          <w:lang w:eastAsia="es-CO"/>
        </w:rPr>
        <w:t>Asistirán a este Órgano Colegiado de Administración y Decisión, en calidad de invitados permanentes con voz y sin voto, dos Senadores y dos Representantes a la Cámara.</w:t>
      </w:r>
    </w:p>
    <w:p w:rsidR="0007322C" w:rsidRPr="0023678C" w:rsidRDefault="00EF796C" w:rsidP="0007322C">
      <w:pPr>
        <w:spacing w:before="100" w:beforeAutospacing="1" w:after="100" w:afterAutospacing="1" w:line="270" w:lineRule="atLeast"/>
        <w:jc w:val="both"/>
        <w:rPr>
          <w:rFonts w:ascii="Arial" w:eastAsia="Times New Roman" w:hAnsi="Arial" w:cs="Arial"/>
          <w:b/>
          <w:bCs/>
          <w:color w:val="000000" w:themeColor="text1"/>
          <w:sz w:val="28"/>
          <w:szCs w:val="28"/>
          <w:lang w:eastAsia="es-CO"/>
        </w:rPr>
      </w:pPr>
      <w:r w:rsidRPr="0023678C">
        <w:rPr>
          <w:rFonts w:ascii="Arial" w:eastAsia="Times New Roman" w:hAnsi="Arial" w:cs="Arial"/>
          <w:b/>
          <w:bCs/>
          <w:color w:val="000000" w:themeColor="text1"/>
          <w:sz w:val="28"/>
          <w:szCs w:val="28"/>
          <w:lang w:eastAsia="es-CO"/>
        </w:rPr>
        <w:t xml:space="preserve">PARÁGRAFO </w:t>
      </w:r>
      <w:r>
        <w:rPr>
          <w:rFonts w:ascii="Arial" w:eastAsia="Times New Roman" w:hAnsi="Arial" w:cs="Arial"/>
          <w:b/>
          <w:bCs/>
          <w:color w:val="000000" w:themeColor="text1"/>
          <w:sz w:val="28"/>
          <w:szCs w:val="28"/>
          <w:lang w:eastAsia="es-CO"/>
        </w:rPr>
        <w:t>3o.</w:t>
      </w:r>
      <w:r w:rsidR="0007322C" w:rsidRPr="0023678C">
        <w:rPr>
          <w:rFonts w:ascii="Arial" w:eastAsia="Times New Roman" w:hAnsi="Arial" w:cs="Arial"/>
          <w:b/>
          <w:bCs/>
          <w:color w:val="000000" w:themeColor="text1"/>
          <w:sz w:val="28"/>
          <w:szCs w:val="28"/>
          <w:lang w:eastAsia="es-CO"/>
        </w:rPr>
        <w:t xml:space="preserve"> TRANSITORIO.</w:t>
      </w:r>
      <w:r w:rsidR="0007322C" w:rsidRPr="00281A48">
        <w:rPr>
          <w:rFonts w:ascii="Arial" w:eastAsia="Times New Roman" w:hAnsi="Arial" w:cs="Arial"/>
          <w:color w:val="000000" w:themeColor="text1"/>
          <w:sz w:val="28"/>
          <w:szCs w:val="28"/>
          <w:lang w:eastAsia="es-CO"/>
        </w:rPr>
        <w:t> &lt;Parágrafo adicionado por el artículo </w:t>
      </w:r>
      <w:hyperlink r:id="rId12" w:anchor="2" w:history="1">
        <w:r w:rsidR="0007322C" w:rsidRPr="0023678C">
          <w:rPr>
            <w:rFonts w:ascii="Arial" w:eastAsia="Times New Roman" w:hAnsi="Arial" w:cs="Arial"/>
            <w:color w:val="000000" w:themeColor="text1"/>
            <w:sz w:val="28"/>
            <w:szCs w:val="28"/>
            <w:lang w:eastAsia="es-CO"/>
          </w:rPr>
          <w:t>2</w:t>
        </w:r>
      </w:hyperlink>
      <w:r w:rsidR="0007322C" w:rsidRPr="00281A48">
        <w:rPr>
          <w:rFonts w:ascii="Arial" w:eastAsia="Times New Roman" w:hAnsi="Arial" w:cs="Arial"/>
          <w:color w:val="000000" w:themeColor="text1"/>
          <w:sz w:val="28"/>
          <w:szCs w:val="28"/>
          <w:lang w:eastAsia="es-CO"/>
        </w:rPr>
        <w:t> del Acto Legislativo 4 de 2017. El nuevo texto es el siguiente:&gt; Los proyectos de inversión a financiarse con los recursos del Sistema General de Regalías destinados a la implementación del Acuerdo Final para la Terminación del Conflicto y la Construcción de una Paz Estable y Duradera, deberán guardar concordancia con el régimen de planeación vigente, el componente específico para la Paz y la implementación del Plan Plurianual de Inversiones del Plan Nacional de Desarrollo y de los planes de desarrollo de las entidades territoriales.</w:t>
      </w:r>
      <w:r w:rsidR="0007322C" w:rsidRPr="0023678C">
        <w:rPr>
          <w:rFonts w:ascii="Arial" w:eastAsia="Times New Roman" w:hAnsi="Arial" w:cs="Arial"/>
          <w:b/>
          <w:bCs/>
          <w:color w:val="000000" w:themeColor="text1"/>
          <w:sz w:val="28"/>
          <w:szCs w:val="28"/>
          <w:lang w:eastAsia="es-CO"/>
        </w:rPr>
        <w:t xml:space="preserve"> </w:t>
      </w:r>
    </w:p>
    <w:p w:rsidR="0007322C" w:rsidRDefault="00EF796C" w:rsidP="0007322C">
      <w:pPr>
        <w:spacing w:before="100" w:beforeAutospacing="1" w:after="100" w:afterAutospacing="1" w:line="270" w:lineRule="atLeast"/>
        <w:jc w:val="both"/>
        <w:rPr>
          <w:rFonts w:ascii="Arial" w:eastAsia="Times New Roman" w:hAnsi="Arial" w:cs="Arial"/>
          <w:color w:val="000000" w:themeColor="text1"/>
          <w:sz w:val="28"/>
          <w:szCs w:val="28"/>
          <w:lang w:eastAsia="es-CO"/>
        </w:rPr>
      </w:pPr>
      <w:r w:rsidRPr="0023678C">
        <w:rPr>
          <w:rFonts w:ascii="Arial" w:eastAsia="Times New Roman" w:hAnsi="Arial" w:cs="Arial"/>
          <w:b/>
          <w:bCs/>
          <w:color w:val="000000" w:themeColor="text1"/>
          <w:sz w:val="28"/>
          <w:szCs w:val="28"/>
          <w:lang w:eastAsia="es-CO"/>
        </w:rPr>
        <w:t xml:space="preserve">PARÁGRAFO </w:t>
      </w:r>
      <w:r>
        <w:rPr>
          <w:rFonts w:ascii="Arial" w:eastAsia="Times New Roman" w:hAnsi="Arial" w:cs="Arial"/>
          <w:b/>
          <w:bCs/>
          <w:color w:val="000000" w:themeColor="text1"/>
          <w:sz w:val="28"/>
          <w:szCs w:val="28"/>
          <w:lang w:eastAsia="es-CO"/>
        </w:rPr>
        <w:t>4o.</w:t>
      </w:r>
      <w:r w:rsidR="0007322C" w:rsidRPr="0023678C">
        <w:rPr>
          <w:rFonts w:ascii="Arial" w:eastAsia="Times New Roman" w:hAnsi="Arial" w:cs="Arial"/>
          <w:b/>
          <w:bCs/>
          <w:color w:val="000000" w:themeColor="text1"/>
          <w:sz w:val="28"/>
          <w:szCs w:val="28"/>
          <w:lang w:eastAsia="es-CO"/>
        </w:rPr>
        <w:t xml:space="preserve"> TRANSITORIO.</w:t>
      </w:r>
      <w:r w:rsidR="0007322C" w:rsidRPr="00281A48">
        <w:rPr>
          <w:rFonts w:ascii="Arial" w:eastAsia="Times New Roman" w:hAnsi="Arial" w:cs="Arial"/>
          <w:color w:val="000000" w:themeColor="text1"/>
          <w:sz w:val="28"/>
          <w:szCs w:val="28"/>
          <w:lang w:eastAsia="es-CO"/>
        </w:rPr>
        <w:t> &lt;Parágrafo adicionado por el artículo </w:t>
      </w:r>
      <w:hyperlink r:id="rId13" w:anchor="2" w:history="1">
        <w:r w:rsidR="0007322C" w:rsidRPr="0023678C">
          <w:rPr>
            <w:rFonts w:ascii="Arial" w:eastAsia="Times New Roman" w:hAnsi="Arial" w:cs="Arial"/>
            <w:color w:val="000000" w:themeColor="text1"/>
            <w:sz w:val="28"/>
            <w:szCs w:val="28"/>
            <w:lang w:eastAsia="es-CO"/>
          </w:rPr>
          <w:t>2</w:t>
        </w:r>
      </w:hyperlink>
      <w:r w:rsidR="0007322C" w:rsidRPr="00281A48">
        <w:rPr>
          <w:rFonts w:ascii="Arial" w:eastAsia="Times New Roman" w:hAnsi="Arial" w:cs="Arial"/>
          <w:color w:val="000000" w:themeColor="text1"/>
          <w:sz w:val="28"/>
          <w:szCs w:val="28"/>
          <w:lang w:eastAsia="es-CO"/>
        </w:rPr>
        <w:t> del Acto Legislativo 4 de 2017. El nuevo texto es el siguiente:&gt; Durante los veinte (20) años siguientes a la entrada en vigencia del presente acto legislativo, las entidades beneficiarias cuya apropiación bienal de inversión sea menor a 4.000 salarios mínimos mensuales legales vigentes y que tengan un adecuado desempeño en la gestión de estos recursos, definirán directamente los proyectos de inversión cuando estos tengan como objeto la implementación del Acuerdo Final para la Terminación del Conflicto y la Construcción de una Paz Estable y Duradera, en concordancia con el decreto con fuerza de ley que para el efecto expida el Gobierno nacional en los seis (6) meses siguientes a la entrada en vigencia del presente acto legislativo. Los demás proyectos serán definidos por el Órgano Colegiado de Administración y Decisión respectivo.</w:t>
      </w:r>
    </w:p>
    <w:p w:rsidR="0007322C" w:rsidRDefault="0007322C" w:rsidP="0007322C">
      <w:pPr>
        <w:spacing w:before="100" w:beforeAutospacing="1" w:after="100" w:afterAutospacing="1" w:line="270" w:lineRule="atLeast"/>
        <w:jc w:val="both"/>
        <w:rPr>
          <w:rFonts w:ascii="Arial" w:eastAsia="Times New Roman" w:hAnsi="Arial" w:cs="Arial"/>
          <w:color w:val="000000" w:themeColor="text1"/>
          <w:sz w:val="28"/>
          <w:szCs w:val="28"/>
          <w:lang w:eastAsia="es-CO"/>
        </w:rPr>
      </w:pPr>
    </w:p>
    <w:p w:rsidR="0007322C" w:rsidRPr="00E307A4" w:rsidRDefault="0007322C" w:rsidP="0007322C">
      <w:pPr>
        <w:spacing w:before="100" w:beforeAutospacing="1" w:after="100" w:afterAutospacing="1" w:line="270" w:lineRule="atLeast"/>
        <w:jc w:val="both"/>
        <w:rPr>
          <w:rFonts w:ascii="Arial" w:eastAsia="Times New Roman" w:hAnsi="Arial" w:cs="Arial"/>
          <w:color w:val="000000" w:themeColor="text1"/>
          <w:sz w:val="28"/>
          <w:szCs w:val="28"/>
          <w:lang w:eastAsia="es-CO"/>
        </w:rPr>
      </w:pPr>
      <w:r>
        <w:rPr>
          <w:rFonts w:ascii="Arial" w:eastAsia="Times New Roman" w:hAnsi="Arial" w:cs="Arial"/>
          <w:b/>
          <w:color w:val="000000" w:themeColor="text1"/>
          <w:sz w:val="28"/>
          <w:szCs w:val="28"/>
          <w:lang w:eastAsia="es-CO"/>
        </w:rPr>
        <w:t>Artí</w:t>
      </w:r>
      <w:r w:rsidRPr="007F726A">
        <w:rPr>
          <w:rFonts w:ascii="Arial" w:eastAsia="Times New Roman" w:hAnsi="Arial" w:cs="Arial"/>
          <w:b/>
          <w:color w:val="000000" w:themeColor="text1"/>
          <w:sz w:val="28"/>
          <w:szCs w:val="28"/>
          <w:lang w:eastAsia="es-CO"/>
        </w:rPr>
        <w:t>culo 2</w:t>
      </w:r>
      <w:r>
        <w:rPr>
          <w:rFonts w:ascii="Arial" w:eastAsia="Times New Roman" w:hAnsi="Arial" w:cs="Arial"/>
          <w:b/>
          <w:color w:val="000000" w:themeColor="text1"/>
          <w:sz w:val="28"/>
          <w:szCs w:val="28"/>
          <w:lang w:eastAsia="es-CO"/>
        </w:rPr>
        <w:t xml:space="preserve">°. </w:t>
      </w:r>
      <w:r w:rsidRPr="007F726A">
        <w:rPr>
          <w:rFonts w:ascii="Arial" w:eastAsia="Times New Roman" w:hAnsi="Arial" w:cs="Arial"/>
          <w:color w:val="000000" w:themeColor="text1"/>
          <w:sz w:val="28"/>
          <w:szCs w:val="28"/>
          <w:lang w:eastAsia="es-CO"/>
        </w:rPr>
        <w:t>Vigencia y derogatorias. El presente a</w:t>
      </w:r>
      <w:r w:rsidR="00E307A4">
        <w:rPr>
          <w:rFonts w:ascii="Arial" w:eastAsia="Times New Roman" w:hAnsi="Arial" w:cs="Arial"/>
          <w:color w:val="000000" w:themeColor="text1"/>
          <w:sz w:val="28"/>
          <w:szCs w:val="28"/>
          <w:lang w:eastAsia="es-CO"/>
        </w:rPr>
        <w:t xml:space="preserve">cto legislativo rige a </w:t>
      </w:r>
      <w:r w:rsidR="00C211FF">
        <w:rPr>
          <w:rFonts w:ascii="Arial" w:eastAsia="Times New Roman" w:hAnsi="Arial" w:cs="Arial"/>
          <w:color w:val="000000" w:themeColor="text1"/>
          <w:sz w:val="28"/>
          <w:szCs w:val="28"/>
          <w:lang w:eastAsia="es-CO"/>
        </w:rPr>
        <w:t xml:space="preserve">partir de su promulgación y surte efectos fiscales a partir del </w:t>
      </w:r>
      <w:r w:rsidR="00144B4E">
        <w:rPr>
          <w:rFonts w:ascii="Arial" w:eastAsia="Times New Roman" w:hAnsi="Arial" w:cs="Arial"/>
          <w:color w:val="000000" w:themeColor="text1"/>
          <w:sz w:val="28"/>
          <w:szCs w:val="28"/>
          <w:lang w:eastAsia="es-CO"/>
        </w:rPr>
        <w:t>1 de enero de 2021</w:t>
      </w:r>
      <w:r w:rsidRPr="007F726A">
        <w:rPr>
          <w:rFonts w:ascii="Arial" w:eastAsia="Times New Roman" w:hAnsi="Arial" w:cs="Arial"/>
          <w:color w:val="000000" w:themeColor="text1"/>
          <w:sz w:val="28"/>
          <w:szCs w:val="28"/>
          <w:lang w:eastAsia="es-CO"/>
        </w:rPr>
        <w:t xml:space="preserve"> y deroga todas las disposiciones que le sean contrarias.</w:t>
      </w:r>
      <w:r>
        <w:rPr>
          <w:rFonts w:ascii="Arial" w:eastAsia="Times New Roman" w:hAnsi="Arial" w:cs="Arial"/>
          <w:b/>
          <w:color w:val="000000" w:themeColor="text1"/>
          <w:sz w:val="28"/>
          <w:szCs w:val="28"/>
          <w:lang w:eastAsia="es-CO"/>
        </w:rPr>
        <w:t xml:space="preserve"> </w:t>
      </w:r>
    </w:p>
    <w:p w:rsidR="0007322C" w:rsidRPr="0023678C" w:rsidRDefault="0007322C" w:rsidP="0007322C">
      <w:pPr>
        <w:rPr>
          <w:rFonts w:ascii="Arial" w:hAnsi="Arial" w:cs="Arial"/>
          <w:color w:val="000000" w:themeColor="text1"/>
          <w:sz w:val="28"/>
          <w:szCs w:val="28"/>
        </w:rPr>
      </w:pPr>
    </w:p>
    <w:p w:rsidR="0007322C" w:rsidRDefault="0007322C" w:rsidP="0007322C">
      <w:pPr>
        <w:spacing w:after="0"/>
        <w:rPr>
          <w:rFonts w:ascii="Arial" w:hAnsi="Arial" w:cs="Arial"/>
          <w:sz w:val="28"/>
          <w:szCs w:val="28"/>
        </w:rPr>
      </w:pPr>
    </w:p>
    <w:p w:rsidR="0007322C" w:rsidRDefault="0007322C" w:rsidP="0007322C">
      <w:pPr>
        <w:spacing w:after="0"/>
        <w:rPr>
          <w:rFonts w:ascii="Arial" w:hAnsi="Arial" w:cs="Arial"/>
          <w:sz w:val="28"/>
          <w:szCs w:val="28"/>
        </w:rPr>
      </w:pPr>
    </w:p>
    <w:p w:rsidR="0007322C" w:rsidRPr="00327F5A" w:rsidRDefault="0007322C" w:rsidP="0007322C">
      <w:pPr>
        <w:spacing w:after="0"/>
        <w:rPr>
          <w:rFonts w:ascii="Arial" w:hAnsi="Arial" w:cs="Arial"/>
          <w:b/>
          <w:sz w:val="28"/>
          <w:szCs w:val="28"/>
        </w:rPr>
      </w:pPr>
      <w:r w:rsidRPr="00327F5A">
        <w:rPr>
          <w:rFonts w:ascii="Arial" w:hAnsi="Arial" w:cs="Arial"/>
          <w:b/>
          <w:sz w:val="28"/>
          <w:szCs w:val="28"/>
        </w:rPr>
        <w:t xml:space="preserve">César Ortiz Zorro </w:t>
      </w:r>
      <w:r>
        <w:rPr>
          <w:rFonts w:ascii="Arial" w:hAnsi="Arial" w:cs="Arial"/>
          <w:b/>
          <w:sz w:val="28"/>
          <w:szCs w:val="28"/>
        </w:rPr>
        <w:t xml:space="preserve">                                       </w:t>
      </w:r>
      <w:r w:rsidR="00144B4E">
        <w:rPr>
          <w:rFonts w:ascii="Arial" w:hAnsi="Arial" w:cs="Arial"/>
          <w:b/>
          <w:sz w:val="28"/>
          <w:szCs w:val="28"/>
        </w:rPr>
        <w:t xml:space="preserve">Angélica Lozano </w:t>
      </w:r>
    </w:p>
    <w:p w:rsidR="0007322C" w:rsidRPr="00327F5A" w:rsidRDefault="0007322C" w:rsidP="0007322C">
      <w:pPr>
        <w:spacing w:after="0"/>
        <w:rPr>
          <w:rFonts w:ascii="Arial" w:hAnsi="Arial" w:cs="Arial"/>
          <w:sz w:val="28"/>
          <w:szCs w:val="28"/>
        </w:rPr>
      </w:pPr>
      <w:r w:rsidRPr="00327F5A">
        <w:rPr>
          <w:rFonts w:ascii="Arial" w:hAnsi="Arial" w:cs="Arial"/>
          <w:sz w:val="28"/>
          <w:szCs w:val="28"/>
        </w:rPr>
        <w:t>Representante a la Cámara</w:t>
      </w:r>
      <w:r>
        <w:rPr>
          <w:rFonts w:ascii="Arial" w:hAnsi="Arial" w:cs="Arial"/>
          <w:sz w:val="28"/>
          <w:szCs w:val="28"/>
        </w:rPr>
        <w:t xml:space="preserve">                         </w:t>
      </w:r>
      <w:r w:rsidR="00144B4E">
        <w:rPr>
          <w:rFonts w:ascii="Arial" w:hAnsi="Arial" w:cs="Arial"/>
          <w:sz w:val="28"/>
          <w:szCs w:val="28"/>
        </w:rPr>
        <w:t>Senadora de la República</w:t>
      </w:r>
      <w:r>
        <w:rPr>
          <w:rFonts w:ascii="Arial" w:hAnsi="Arial" w:cs="Arial"/>
          <w:sz w:val="28"/>
          <w:szCs w:val="28"/>
        </w:rPr>
        <w:t xml:space="preserve">                               </w:t>
      </w:r>
    </w:p>
    <w:p w:rsidR="00144B4E" w:rsidRDefault="0007322C" w:rsidP="0007322C">
      <w:pPr>
        <w:spacing w:after="0"/>
        <w:rPr>
          <w:rFonts w:ascii="Arial" w:hAnsi="Arial" w:cs="Arial"/>
          <w:sz w:val="28"/>
          <w:szCs w:val="28"/>
        </w:rPr>
      </w:pPr>
      <w:r w:rsidRPr="00327F5A">
        <w:rPr>
          <w:rFonts w:ascii="Arial" w:hAnsi="Arial" w:cs="Arial"/>
          <w:sz w:val="28"/>
          <w:szCs w:val="28"/>
        </w:rPr>
        <w:t xml:space="preserve">Alianza Verde </w:t>
      </w:r>
      <w:r>
        <w:rPr>
          <w:rFonts w:ascii="Arial" w:hAnsi="Arial" w:cs="Arial"/>
          <w:sz w:val="28"/>
          <w:szCs w:val="28"/>
        </w:rPr>
        <w:t xml:space="preserve">                                             </w:t>
      </w:r>
      <w:r w:rsidR="00144B4E">
        <w:rPr>
          <w:rFonts w:ascii="Arial" w:hAnsi="Arial" w:cs="Arial"/>
          <w:sz w:val="28"/>
          <w:szCs w:val="28"/>
        </w:rPr>
        <w:t xml:space="preserve"> </w:t>
      </w:r>
      <w:r w:rsidRPr="00327F5A">
        <w:rPr>
          <w:rFonts w:ascii="Arial" w:hAnsi="Arial" w:cs="Arial"/>
          <w:sz w:val="28"/>
          <w:szCs w:val="28"/>
        </w:rPr>
        <w:t xml:space="preserve">Alianza Verde </w:t>
      </w:r>
      <w:r>
        <w:rPr>
          <w:rFonts w:ascii="Arial" w:hAnsi="Arial" w:cs="Arial"/>
          <w:sz w:val="28"/>
          <w:szCs w:val="28"/>
        </w:rPr>
        <w:t xml:space="preserve"> </w:t>
      </w:r>
    </w:p>
    <w:p w:rsidR="00144B4E" w:rsidRDefault="00144B4E" w:rsidP="0007322C">
      <w:pPr>
        <w:spacing w:after="0"/>
        <w:rPr>
          <w:rFonts w:ascii="Arial" w:hAnsi="Arial" w:cs="Arial"/>
          <w:sz w:val="28"/>
          <w:szCs w:val="28"/>
        </w:rPr>
      </w:pPr>
    </w:p>
    <w:p w:rsidR="00144B4E" w:rsidRDefault="00144B4E" w:rsidP="0007322C">
      <w:pPr>
        <w:spacing w:after="0"/>
        <w:rPr>
          <w:rFonts w:ascii="Arial" w:hAnsi="Arial" w:cs="Arial"/>
          <w:sz w:val="28"/>
          <w:szCs w:val="28"/>
        </w:rPr>
      </w:pPr>
    </w:p>
    <w:p w:rsidR="00144B4E" w:rsidRDefault="00144B4E" w:rsidP="0007322C">
      <w:pPr>
        <w:spacing w:after="0"/>
        <w:rPr>
          <w:rFonts w:ascii="Arial" w:hAnsi="Arial" w:cs="Arial"/>
          <w:sz w:val="28"/>
          <w:szCs w:val="28"/>
        </w:rPr>
      </w:pPr>
    </w:p>
    <w:p w:rsidR="00144B4E" w:rsidRPr="00327F5A" w:rsidRDefault="00144B4E" w:rsidP="00144B4E">
      <w:pPr>
        <w:spacing w:after="0"/>
        <w:rPr>
          <w:rFonts w:ascii="Arial" w:hAnsi="Arial" w:cs="Arial"/>
          <w:b/>
          <w:sz w:val="28"/>
          <w:szCs w:val="28"/>
        </w:rPr>
      </w:pPr>
      <w:r>
        <w:rPr>
          <w:rFonts w:ascii="Arial" w:hAnsi="Arial" w:cs="Arial"/>
          <w:b/>
          <w:sz w:val="28"/>
          <w:szCs w:val="28"/>
        </w:rPr>
        <w:t xml:space="preserve">Fabián Diaz         </w:t>
      </w:r>
      <w:r w:rsidRPr="00327F5A">
        <w:rPr>
          <w:rFonts w:ascii="Arial" w:hAnsi="Arial" w:cs="Arial"/>
          <w:b/>
          <w:sz w:val="28"/>
          <w:szCs w:val="28"/>
        </w:rPr>
        <w:t xml:space="preserve"> </w:t>
      </w:r>
      <w:r>
        <w:rPr>
          <w:rFonts w:ascii="Arial" w:hAnsi="Arial" w:cs="Arial"/>
          <w:b/>
          <w:sz w:val="28"/>
          <w:szCs w:val="28"/>
        </w:rPr>
        <w:t xml:space="preserve">                                       Jorge Londoño </w:t>
      </w:r>
    </w:p>
    <w:p w:rsidR="00144B4E" w:rsidRPr="00327F5A" w:rsidRDefault="00144B4E" w:rsidP="00144B4E">
      <w:pPr>
        <w:spacing w:after="0"/>
        <w:rPr>
          <w:rFonts w:ascii="Arial" w:hAnsi="Arial" w:cs="Arial"/>
          <w:sz w:val="28"/>
          <w:szCs w:val="28"/>
        </w:rPr>
      </w:pPr>
      <w:r w:rsidRPr="00327F5A">
        <w:rPr>
          <w:rFonts w:ascii="Arial" w:hAnsi="Arial" w:cs="Arial"/>
          <w:sz w:val="28"/>
          <w:szCs w:val="28"/>
        </w:rPr>
        <w:t>Representante a la Cámara</w:t>
      </w:r>
      <w:r>
        <w:rPr>
          <w:rFonts w:ascii="Arial" w:hAnsi="Arial" w:cs="Arial"/>
          <w:sz w:val="28"/>
          <w:szCs w:val="28"/>
        </w:rPr>
        <w:t xml:space="preserve">                         Senador de la República                               </w:t>
      </w:r>
    </w:p>
    <w:p w:rsidR="00144B4E" w:rsidRDefault="00144B4E" w:rsidP="00144B4E">
      <w:pPr>
        <w:spacing w:after="0"/>
        <w:rPr>
          <w:rFonts w:ascii="Arial" w:hAnsi="Arial" w:cs="Arial"/>
          <w:sz w:val="28"/>
          <w:szCs w:val="28"/>
        </w:rPr>
      </w:pPr>
      <w:r w:rsidRPr="00327F5A">
        <w:rPr>
          <w:rFonts w:ascii="Arial" w:hAnsi="Arial" w:cs="Arial"/>
          <w:sz w:val="28"/>
          <w:szCs w:val="28"/>
        </w:rPr>
        <w:t xml:space="preserve">Alianza Verde </w:t>
      </w:r>
      <w:r>
        <w:rPr>
          <w:rFonts w:ascii="Arial" w:hAnsi="Arial" w:cs="Arial"/>
          <w:sz w:val="28"/>
          <w:szCs w:val="28"/>
        </w:rPr>
        <w:t xml:space="preserve">                                             </w:t>
      </w:r>
      <w:r w:rsidRPr="00327F5A">
        <w:rPr>
          <w:rFonts w:ascii="Arial" w:hAnsi="Arial" w:cs="Arial"/>
          <w:sz w:val="28"/>
          <w:szCs w:val="28"/>
        </w:rPr>
        <w:t xml:space="preserve">Alianza Verde </w:t>
      </w:r>
      <w:r>
        <w:rPr>
          <w:rFonts w:ascii="Arial" w:hAnsi="Arial" w:cs="Arial"/>
          <w:sz w:val="28"/>
          <w:szCs w:val="28"/>
        </w:rPr>
        <w:t xml:space="preserve"> </w:t>
      </w:r>
    </w:p>
    <w:p w:rsidR="00144B4E" w:rsidRDefault="00144B4E" w:rsidP="00144B4E">
      <w:pPr>
        <w:spacing w:after="0"/>
        <w:rPr>
          <w:rFonts w:ascii="Arial" w:hAnsi="Arial" w:cs="Arial"/>
          <w:sz w:val="28"/>
          <w:szCs w:val="28"/>
        </w:rPr>
      </w:pPr>
    </w:p>
    <w:p w:rsidR="00144B4E" w:rsidRDefault="00144B4E" w:rsidP="00144B4E">
      <w:pPr>
        <w:spacing w:after="0"/>
        <w:rPr>
          <w:rFonts w:ascii="Arial" w:hAnsi="Arial" w:cs="Arial"/>
          <w:sz w:val="28"/>
          <w:szCs w:val="28"/>
        </w:rPr>
      </w:pPr>
    </w:p>
    <w:p w:rsidR="00144B4E" w:rsidRDefault="00144B4E" w:rsidP="00144B4E">
      <w:pPr>
        <w:spacing w:after="0"/>
        <w:rPr>
          <w:rFonts w:ascii="Arial" w:hAnsi="Arial" w:cs="Arial"/>
          <w:sz w:val="28"/>
          <w:szCs w:val="28"/>
        </w:rPr>
      </w:pPr>
    </w:p>
    <w:p w:rsidR="00144B4E" w:rsidRPr="00327F5A" w:rsidRDefault="00BC460B" w:rsidP="00144B4E">
      <w:pPr>
        <w:spacing w:after="0"/>
        <w:rPr>
          <w:rFonts w:ascii="Arial" w:hAnsi="Arial" w:cs="Arial"/>
          <w:b/>
          <w:sz w:val="28"/>
          <w:szCs w:val="28"/>
        </w:rPr>
      </w:pPr>
      <w:r>
        <w:rPr>
          <w:rFonts w:ascii="Arial" w:hAnsi="Arial" w:cs="Arial"/>
          <w:b/>
          <w:sz w:val="28"/>
          <w:szCs w:val="28"/>
        </w:rPr>
        <w:t>José</w:t>
      </w:r>
      <w:r w:rsidR="00144B4E">
        <w:rPr>
          <w:rFonts w:ascii="Arial" w:hAnsi="Arial" w:cs="Arial"/>
          <w:b/>
          <w:sz w:val="28"/>
          <w:szCs w:val="28"/>
        </w:rPr>
        <w:t xml:space="preserve"> Polo         </w:t>
      </w:r>
      <w:r w:rsidR="00144B4E" w:rsidRPr="00327F5A">
        <w:rPr>
          <w:rFonts w:ascii="Arial" w:hAnsi="Arial" w:cs="Arial"/>
          <w:b/>
          <w:sz w:val="28"/>
          <w:szCs w:val="28"/>
        </w:rPr>
        <w:t xml:space="preserve"> </w:t>
      </w:r>
      <w:r w:rsidR="00144B4E">
        <w:rPr>
          <w:rFonts w:ascii="Arial" w:hAnsi="Arial" w:cs="Arial"/>
          <w:b/>
          <w:sz w:val="28"/>
          <w:szCs w:val="28"/>
        </w:rPr>
        <w:t xml:space="preserve">                                         Iván Marulanda</w:t>
      </w:r>
    </w:p>
    <w:p w:rsidR="00144B4E" w:rsidRPr="00327F5A" w:rsidRDefault="00144B4E" w:rsidP="00144B4E">
      <w:pPr>
        <w:spacing w:after="0"/>
        <w:rPr>
          <w:rFonts w:ascii="Arial" w:hAnsi="Arial" w:cs="Arial"/>
          <w:sz w:val="28"/>
          <w:szCs w:val="28"/>
        </w:rPr>
      </w:pPr>
      <w:r>
        <w:rPr>
          <w:rFonts w:ascii="Arial" w:hAnsi="Arial" w:cs="Arial"/>
          <w:sz w:val="28"/>
          <w:szCs w:val="28"/>
        </w:rPr>
        <w:t xml:space="preserve">Senador de la República   </w:t>
      </w:r>
      <w:r>
        <w:rPr>
          <w:rFonts w:ascii="Arial" w:hAnsi="Arial" w:cs="Arial"/>
          <w:sz w:val="28"/>
          <w:szCs w:val="28"/>
        </w:rPr>
        <w:tab/>
      </w:r>
      <w:r>
        <w:rPr>
          <w:rFonts w:ascii="Arial" w:hAnsi="Arial" w:cs="Arial"/>
          <w:sz w:val="28"/>
          <w:szCs w:val="28"/>
        </w:rPr>
        <w:tab/>
      </w:r>
      <w:r>
        <w:rPr>
          <w:rFonts w:ascii="Arial" w:hAnsi="Arial" w:cs="Arial"/>
          <w:sz w:val="28"/>
          <w:szCs w:val="28"/>
        </w:rPr>
        <w:tab/>
        <w:t xml:space="preserve">     Senador de la República                               </w:t>
      </w:r>
    </w:p>
    <w:p w:rsidR="00144B4E" w:rsidRDefault="00144B4E" w:rsidP="00144B4E">
      <w:pPr>
        <w:spacing w:after="0"/>
        <w:rPr>
          <w:rFonts w:ascii="Arial" w:hAnsi="Arial" w:cs="Arial"/>
          <w:sz w:val="28"/>
          <w:szCs w:val="28"/>
        </w:rPr>
      </w:pPr>
      <w:r w:rsidRPr="00327F5A">
        <w:rPr>
          <w:rFonts w:ascii="Arial" w:hAnsi="Arial" w:cs="Arial"/>
          <w:sz w:val="28"/>
          <w:szCs w:val="28"/>
        </w:rPr>
        <w:t xml:space="preserve">Alianza Verde </w:t>
      </w:r>
      <w:r>
        <w:rPr>
          <w:rFonts w:ascii="Arial" w:hAnsi="Arial" w:cs="Arial"/>
          <w:sz w:val="28"/>
          <w:szCs w:val="28"/>
        </w:rPr>
        <w:t xml:space="preserve">                                             </w:t>
      </w:r>
      <w:r w:rsidRPr="00327F5A">
        <w:rPr>
          <w:rFonts w:ascii="Arial" w:hAnsi="Arial" w:cs="Arial"/>
          <w:sz w:val="28"/>
          <w:szCs w:val="28"/>
        </w:rPr>
        <w:t xml:space="preserve">Alianza Verde </w:t>
      </w:r>
      <w:r>
        <w:rPr>
          <w:rFonts w:ascii="Arial" w:hAnsi="Arial" w:cs="Arial"/>
          <w:sz w:val="28"/>
          <w:szCs w:val="28"/>
        </w:rPr>
        <w:t xml:space="preserve"> </w:t>
      </w:r>
    </w:p>
    <w:p w:rsidR="00BC460B" w:rsidRDefault="00BC460B" w:rsidP="00144B4E">
      <w:pPr>
        <w:spacing w:after="0"/>
        <w:rPr>
          <w:rFonts w:ascii="Arial" w:hAnsi="Arial" w:cs="Arial"/>
          <w:sz w:val="28"/>
          <w:szCs w:val="28"/>
        </w:rPr>
      </w:pPr>
    </w:p>
    <w:p w:rsidR="00BC460B" w:rsidRDefault="00BC460B" w:rsidP="00144B4E">
      <w:pPr>
        <w:spacing w:after="0"/>
        <w:rPr>
          <w:rFonts w:ascii="Arial" w:hAnsi="Arial" w:cs="Arial"/>
          <w:sz w:val="28"/>
          <w:szCs w:val="28"/>
        </w:rPr>
      </w:pPr>
    </w:p>
    <w:p w:rsidR="00BC460B" w:rsidRDefault="00BC460B" w:rsidP="00144B4E">
      <w:pPr>
        <w:spacing w:after="0"/>
        <w:rPr>
          <w:rFonts w:ascii="Arial" w:hAnsi="Arial" w:cs="Arial"/>
          <w:sz w:val="28"/>
          <w:szCs w:val="28"/>
        </w:rPr>
      </w:pPr>
    </w:p>
    <w:p w:rsidR="00BC460B" w:rsidRPr="00327F5A" w:rsidRDefault="00BC460B" w:rsidP="00BC460B">
      <w:pPr>
        <w:spacing w:after="0"/>
        <w:rPr>
          <w:rFonts w:ascii="Arial" w:hAnsi="Arial" w:cs="Arial"/>
          <w:b/>
          <w:sz w:val="28"/>
          <w:szCs w:val="28"/>
        </w:rPr>
      </w:pPr>
      <w:r>
        <w:rPr>
          <w:rFonts w:ascii="Arial" w:hAnsi="Arial" w:cs="Arial"/>
          <w:b/>
          <w:sz w:val="28"/>
          <w:szCs w:val="28"/>
        </w:rPr>
        <w:t xml:space="preserve">Antonio Sanguino         </w:t>
      </w:r>
      <w:r w:rsidRPr="00327F5A">
        <w:rPr>
          <w:rFonts w:ascii="Arial" w:hAnsi="Arial" w:cs="Arial"/>
          <w:b/>
          <w:sz w:val="28"/>
          <w:szCs w:val="28"/>
        </w:rPr>
        <w:t xml:space="preserve"> </w:t>
      </w:r>
      <w:r>
        <w:rPr>
          <w:rFonts w:ascii="Arial" w:hAnsi="Arial" w:cs="Arial"/>
          <w:b/>
          <w:sz w:val="28"/>
          <w:szCs w:val="28"/>
        </w:rPr>
        <w:t xml:space="preserve">                            Iván Name</w:t>
      </w:r>
    </w:p>
    <w:p w:rsidR="00BC460B" w:rsidRPr="00327F5A" w:rsidRDefault="00BC460B" w:rsidP="00BC460B">
      <w:pPr>
        <w:spacing w:after="0"/>
        <w:rPr>
          <w:rFonts w:ascii="Arial" w:hAnsi="Arial" w:cs="Arial"/>
          <w:sz w:val="28"/>
          <w:szCs w:val="28"/>
        </w:rPr>
      </w:pPr>
      <w:r>
        <w:rPr>
          <w:rFonts w:ascii="Arial" w:hAnsi="Arial" w:cs="Arial"/>
          <w:sz w:val="28"/>
          <w:szCs w:val="28"/>
        </w:rPr>
        <w:t xml:space="preserve">Senador de la República   </w:t>
      </w:r>
      <w:r>
        <w:rPr>
          <w:rFonts w:ascii="Arial" w:hAnsi="Arial" w:cs="Arial"/>
          <w:sz w:val="28"/>
          <w:szCs w:val="28"/>
        </w:rPr>
        <w:tab/>
      </w:r>
      <w:r>
        <w:rPr>
          <w:rFonts w:ascii="Arial" w:hAnsi="Arial" w:cs="Arial"/>
          <w:sz w:val="28"/>
          <w:szCs w:val="28"/>
        </w:rPr>
        <w:tab/>
      </w:r>
      <w:r>
        <w:rPr>
          <w:rFonts w:ascii="Arial" w:hAnsi="Arial" w:cs="Arial"/>
          <w:sz w:val="28"/>
          <w:szCs w:val="28"/>
        </w:rPr>
        <w:tab/>
        <w:t xml:space="preserve">     Senador de la República                               </w:t>
      </w:r>
    </w:p>
    <w:p w:rsidR="00BC460B" w:rsidRDefault="00BC460B" w:rsidP="00BC460B">
      <w:pPr>
        <w:spacing w:after="0"/>
        <w:rPr>
          <w:rFonts w:ascii="Arial" w:hAnsi="Arial" w:cs="Arial"/>
          <w:sz w:val="28"/>
          <w:szCs w:val="28"/>
        </w:rPr>
      </w:pPr>
      <w:r w:rsidRPr="00327F5A">
        <w:rPr>
          <w:rFonts w:ascii="Arial" w:hAnsi="Arial" w:cs="Arial"/>
          <w:sz w:val="28"/>
          <w:szCs w:val="28"/>
        </w:rPr>
        <w:t xml:space="preserve">Alianza Verde </w:t>
      </w:r>
      <w:r>
        <w:rPr>
          <w:rFonts w:ascii="Arial" w:hAnsi="Arial" w:cs="Arial"/>
          <w:sz w:val="28"/>
          <w:szCs w:val="28"/>
        </w:rPr>
        <w:t xml:space="preserve">                                             </w:t>
      </w:r>
      <w:r w:rsidRPr="00327F5A">
        <w:rPr>
          <w:rFonts w:ascii="Arial" w:hAnsi="Arial" w:cs="Arial"/>
          <w:sz w:val="28"/>
          <w:szCs w:val="28"/>
        </w:rPr>
        <w:t xml:space="preserve">Alianza Verde </w:t>
      </w:r>
      <w:r>
        <w:rPr>
          <w:rFonts w:ascii="Arial" w:hAnsi="Arial" w:cs="Arial"/>
          <w:sz w:val="28"/>
          <w:szCs w:val="28"/>
        </w:rPr>
        <w:t xml:space="preserve"> </w:t>
      </w:r>
    </w:p>
    <w:p w:rsidR="00BC460B" w:rsidRDefault="00BC460B" w:rsidP="00BC460B">
      <w:pPr>
        <w:spacing w:after="0"/>
        <w:rPr>
          <w:rFonts w:ascii="Arial" w:hAnsi="Arial" w:cs="Arial"/>
          <w:sz w:val="28"/>
          <w:szCs w:val="28"/>
        </w:rPr>
      </w:pPr>
    </w:p>
    <w:p w:rsidR="00BC460B" w:rsidRDefault="00BC460B" w:rsidP="00BC460B">
      <w:pPr>
        <w:spacing w:after="0"/>
        <w:rPr>
          <w:rFonts w:ascii="Arial" w:hAnsi="Arial" w:cs="Arial"/>
          <w:sz w:val="28"/>
          <w:szCs w:val="28"/>
        </w:rPr>
      </w:pPr>
    </w:p>
    <w:p w:rsidR="00BC460B" w:rsidRDefault="00BC460B" w:rsidP="00BC460B">
      <w:pPr>
        <w:spacing w:after="0"/>
        <w:rPr>
          <w:rFonts w:ascii="Arial" w:hAnsi="Arial" w:cs="Arial"/>
          <w:sz w:val="28"/>
          <w:szCs w:val="28"/>
        </w:rPr>
      </w:pPr>
    </w:p>
    <w:p w:rsidR="00BC460B" w:rsidRDefault="00BC460B" w:rsidP="00BC460B">
      <w:pPr>
        <w:spacing w:after="0"/>
        <w:rPr>
          <w:rFonts w:ascii="Arial" w:hAnsi="Arial" w:cs="Arial"/>
          <w:sz w:val="28"/>
          <w:szCs w:val="28"/>
        </w:rPr>
      </w:pPr>
    </w:p>
    <w:p w:rsidR="00BC460B" w:rsidRDefault="00BC460B" w:rsidP="00BC460B">
      <w:pPr>
        <w:spacing w:after="0"/>
        <w:rPr>
          <w:rFonts w:ascii="Arial" w:hAnsi="Arial" w:cs="Arial"/>
          <w:sz w:val="28"/>
          <w:szCs w:val="28"/>
        </w:rPr>
      </w:pPr>
    </w:p>
    <w:p w:rsidR="00BC460B" w:rsidRDefault="00BC460B" w:rsidP="00BC460B">
      <w:pPr>
        <w:spacing w:after="0"/>
        <w:rPr>
          <w:rFonts w:ascii="Arial" w:hAnsi="Arial" w:cs="Arial"/>
          <w:sz w:val="28"/>
          <w:szCs w:val="28"/>
        </w:rPr>
      </w:pPr>
    </w:p>
    <w:p w:rsidR="00BC460B" w:rsidRDefault="00BC460B" w:rsidP="00BC460B">
      <w:pPr>
        <w:spacing w:after="0"/>
        <w:rPr>
          <w:rFonts w:ascii="Arial" w:hAnsi="Arial" w:cs="Arial"/>
          <w:sz w:val="28"/>
          <w:szCs w:val="28"/>
        </w:rPr>
      </w:pPr>
    </w:p>
    <w:p w:rsidR="00BC460B" w:rsidRPr="00327F5A" w:rsidRDefault="00BC460B" w:rsidP="00BC460B">
      <w:pPr>
        <w:spacing w:after="0"/>
        <w:rPr>
          <w:rFonts w:ascii="Arial" w:hAnsi="Arial" w:cs="Arial"/>
          <w:b/>
          <w:sz w:val="28"/>
          <w:szCs w:val="28"/>
        </w:rPr>
      </w:pPr>
      <w:r>
        <w:rPr>
          <w:rFonts w:ascii="Arial" w:hAnsi="Arial" w:cs="Arial"/>
          <w:b/>
          <w:sz w:val="28"/>
          <w:szCs w:val="28"/>
        </w:rPr>
        <w:t xml:space="preserve">Catalina Ortiz         </w:t>
      </w:r>
      <w:r w:rsidRPr="00327F5A">
        <w:rPr>
          <w:rFonts w:ascii="Arial" w:hAnsi="Arial" w:cs="Arial"/>
          <w:b/>
          <w:sz w:val="28"/>
          <w:szCs w:val="28"/>
        </w:rPr>
        <w:t xml:space="preserve"> </w:t>
      </w:r>
      <w:r>
        <w:rPr>
          <w:rFonts w:ascii="Arial" w:hAnsi="Arial" w:cs="Arial"/>
          <w:b/>
          <w:sz w:val="28"/>
          <w:szCs w:val="28"/>
        </w:rPr>
        <w:t xml:space="preserve">                                    Sandra Ortiz</w:t>
      </w:r>
    </w:p>
    <w:p w:rsidR="00BC460B" w:rsidRPr="00327F5A" w:rsidRDefault="00BC460B" w:rsidP="00BC460B">
      <w:pPr>
        <w:spacing w:after="0"/>
        <w:rPr>
          <w:rFonts w:ascii="Arial" w:hAnsi="Arial" w:cs="Arial"/>
          <w:sz w:val="28"/>
          <w:szCs w:val="28"/>
        </w:rPr>
      </w:pPr>
      <w:r w:rsidRPr="00327F5A">
        <w:rPr>
          <w:rFonts w:ascii="Arial" w:hAnsi="Arial" w:cs="Arial"/>
          <w:sz w:val="28"/>
          <w:szCs w:val="28"/>
        </w:rPr>
        <w:t>Representante a la Cámara</w:t>
      </w:r>
      <w:r>
        <w:rPr>
          <w:rFonts w:ascii="Arial" w:hAnsi="Arial" w:cs="Arial"/>
          <w:sz w:val="28"/>
          <w:szCs w:val="28"/>
        </w:rPr>
        <w:t xml:space="preserve">                         Senador de la República                               </w:t>
      </w:r>
    </w:p>
    <w:p w:rsidR="00BC460B" w:rsidRDefault="00BC460B" w:rsidP="00BC460B">
      <w:pPr>
        <w:spacing w:after="0"/>
        <w:rPr>
          <w:rFonts w:ascii="Arial" w:hAnsi="Arial" w:cs="Arial"/>
          <w:sz w:val="28"/>
          <w:szCs w:val="28"/>
        </w:rPr>
      </w:pPr>
      <w:r w:rsidRPr="00327F5A">
        <w:rPr>
          <w:rFonts w:ascii="Arial" w:hAnsi="Arial" w:cs="Arial"/>
          <w:sz w:val="28"/>
          <w:szCs w:val="28"/>
        </w:rPr>
        <w:t xml:space="preserve">Alianza Verde </w:t>
      </w:r>
      <w:r>
        <w:rPr>
          <w:rFonts w:ascii="Arial" w:hAnsi="Arial" w:cs="Arial"/>
          <w:sz w:val="28"/>
          <w:szCs w:val="28"/>
        </w:rPr>
        <w:t xml:space="preserve">                                             </w:t>
      </w:r>
      <w:r w:rsidRPr="00327F5A">
        <w:rPr>
          <w:rFonts w:ascii="Arial" w:hAnsi="Arial" w:cs="Arial"/>
          <w:sz w:val="28"/>
          <w:szCs w:val="28"/>
        </w:rPr>
        <w:t xml:space="preserve">Alianza Verde </w:t>
      </w:r>
      <w:r>
        <w:rPr>
          <w:rFonts w:ascii="Arial" w:hAnsi="Arial" w:cs="Arial"/>
          <w:sz w:val="28"/>
          <w:szCs w:val="28"/>
        </w:rPr>
        <w:t xml:space="preserve"> </w:t>
      </w:r>
    </w:p>
    <w:p w:rsidR="00BC460B" w:rsidRDefault="00BC460B" w:rsidP="00BC460B">
      <w:pPr>
        <w:spacing w:after="0"/>
        <w:rPr>
          <w:rFonts w:ascii="Arial" w:hAnsi="Arial" w:cs="Arial"/>
          <w:sz w:val="28"/>
          <w:szCs w:val="28"/>
        </w:rPr>
      </w:pPr>
    </w:p>
    <w:p w:rsidR="00BC460B" w:rsidRPr="00C92325" w:rsidRDefault="00BC460B" w:rsidP="00BC460B">
      <w:pPr>
        <w:spacing w:after="0"/>
        <w:rPr>
          <w:rFonts w:ascii="Arial" w:hAnsi="Arial" w:cs="Arial"/>
          <w:sz w:val="28"/>
          <w:szCs w:val="28"/>
        </w:rPr>
      </w:pPr>
    </w:p>
    <w:p w:rsidR="0007322C" w:rsidRPr="00C92325" w:rsidRDefault="0007322C" w:rsidP="0007322C">
      <w:pPr>
        <w:spacing w:after="0"/>
        <w:rPr>
          <w:rFonts w:ascii="Arial" w:hAnsi="Arial" w:cs="Arial"/>
          <w:sz w:val="28"/>
          <w:szCs w:val="28"/>
        </w:rPr>
      </w:pPr>
      <w:r w:rsidRPr="00C92325">
        <w:rPr>
          <w:rFonts w:ascii="Arial" w:hAnsi="Arial" w:cs="Arial"/>
          <w:sz w:val="28"/>
          <w:szCs w:val="28"/>
        </w:rPr>
        <w:t xml:space="preserve">                                                                                  </w:t>
      </w:r>
    </w:p>
    <w:p w:rsidR="0007322C" w:rsidRPr="00C92325" w:rsidRDefault="00CC4737" w:rsidP="0007322C">
      <w:pPr>
        <w:spacing w:after="0"/>
        <w:rPr>
          <w:rFonts w:ascii="Arial" w:hAnsi="Arial" w:cs="Arial"/>
          <w:sz w:val="28"/>
          <w:szCs w:val="28"/>
        </w:rPr>
      </w:pPr>
      <w:r w:rsidRPr="00C92325">
        <w:rPr>
          <w:rFonts w:ascii="Arial" w:hAnsi="Arial" w:cs="Arial"/>
          <w:b/>
          <w:sz w:val="28"/>
          <w:szCs w:val="28"/>
        </w:rPr>
        <w:t xml:space="preserve">Neyla Ruiz                                                    León Fredy Muñoz                                </w:t>
      </w:r>
    </w:p>
    <w:p w:rsidR="00CC4737" w:rsidRPr="00C92325" w:rsidRDefault="00CC4737" w:rsidP="0007322C">
      <w:pPr>
        <w:spacing w:after="0"/>
        <w:rPr>
          <w:rFonts w:ascii="Arial" w:hAnsi="Arial" w:cs="Arial"/>
          <w:sz w:val="28"/>
          <w:szCs w:val="28"/>
        </w:rPr>
      </w:pPr>
      <w:r w:rsidRPr="00C92325">
        <w:rPr>
          <w:rFonts w:ascii="Arial" w:hAnsi="Arial" w:cs="Arial"/>
          <w:sz w:val="28"/>
          <w:szCs w:val="28"/>
        </w:rPr>
        <w:t xml:space="preserve">Representante a la Cámara                         Representante a la Cámara                     </w:t>
      </w:r>
    </w:p>
    <w:p w:rsidR="00CC4737" w:rsidRPr="00C92325" w:rsidRDefault="00CC4737" w:rsidP="00CC4737">
      <w:pPr>
        <w:spacing w:after="0"/>
        <w:rPr>
          <w:rFonts w:ascii="Arial" w:hAnsi="Arial" w:cs="Arial"/>
          <w:sz w:val="28"/>
          <w:szCs w:val="28"/>
        </w:rPr>
      </w:pPr>
      <w:r w:rsidRPr="00C92325">
        <w:rPr>
          <w:rFonts w:ascii="Arial" w:hAnsi="Arial" w:cs="Arial"/>
          <w:sz w:val="28"/>
          <w:szCs w:val="28"/>
        </w:rPr>
        <w:t>Alianza Verde                                               Alianza Verde</w:t>
      </w:r>
    </w:p>
    <w:p w:rsidR="00A251F8" w:rsidRDefault="00A251F8" w:rsidP="00CC4737">
      <w:pPr>
        <w:spacing w:after="0"/>
        <w:rPr>
          <w:rFonts w:ascii="Arial" w:hAnsi="Arial" w:cs="Arial"/>
          <w:sz w:val="28"/>
          <w:szCs w:val="28"/>
        </w:rPr>
      </w:pPr>
    </w:p>
    <w:p w:rsidR="00A251F8" w:rsidRDefault="00A251F8" w:rsidP="00CC4737">
      <w:pPr>
        <w:spacing w:after="0"/>
        <w:rPr>
          <w:rFonts w:ascii="Arial" w:hAnsi="Arial" w:cs="Arial"/>
          <w:sz w:val="28"/>
          <w:szCs w:val="28"/>
        </w:rPr>
      </w:pPr>
    </w:p>
    <w:p w:rsidR="002A3EAD" w:rsidRDefault="002A3EAD" w:rsidP="00CC4737">
      <w:pPr>
        <w:spacing w:after="0"/>
        <w:rPr>
          <w:rFonts w:ascii="Arial" w:hAnsi="Arial" w:cs="Arial"/>
          <w:sz w:val="28"/>
          <w:szCs w:val="28"/>
        </w:rPr>
      </w:pPr>
    </w:p>
    <w:p w:rsidR="002A3EAD" w:rsidRDefault="002A3EAD" w:rsidP="00CC4737">
      <w:pPr>
        <w:spacing w:after="0"/>
        <w:rPr>
          <w:rFonts w:ascii="Arial" w:hAnsi="Arial" w:cs="Arial"/>
          <w:sz w:val="28"/>
          <w:szCs w:val="28"/>
        </w:rPr>
      </w:pPr>
    </w:p>
    <w:p w:rsidR="002A3EAD" w:rsidRDefault="002A3EAD" w:rsidP="00CC4737">
      <w:pPr>
        <w:spacing w:after="0"/>
        <w:rPr>
          <w:rFonts w:ascii="Arial" w:hAnsi="Arial" w:cs="Arial"/>
          <w:sz w:val="28"/>
          <w:szCs w:val="28"/>
        </w:rPr>
      </w:pPr>
    </w:p>
    <w:p w:rsidR="00A251F8" w:rsidRDefault="00A251F8" w:rsidP="00CC4737">
      <w:pPr>
        <w:spacing w:after="0"/>
        <w:rPr>
          <w:rFonts w:ascii="Arial" w:hAnsi="Arial" w:cs="Arial"/>
          <w:sz w:val="28"/>
          <w:szCs w:val="28"/>
        </w:rPr>
      </w:pPr>
      <w:r w:rsidRPr="00A251F8">
        <w:rPr>
          <w:rFonts w:ascii="Arial" w:hAnsi="Arial" w:cs="Arial"/>
          <w:b/>
          <w:sz w:val="28"/>
          <w:szCs w:val="28"/>
        </w:rPr>
        <w:t>Katherine Miranda</w:t>
      </w:r>
      <w:r>
        <w:rPr>
          <w:rFonts w:ascii="Arial" w:hAnsi="Arial" w:cs="Arial"/>
          <w:sz w:val="28"/>
          <w:szCs w:val="28"/>
        </w:rPr>
        <w:t xml:space="preserve">                                      </w:t>
      </w:r>
      <w:r w:rsidRPr="00A251F8">
        <w:rPr>
          <w:rFonts w:ascii="Arial" w:hAnsi="Arial" w:cs="Arial"/>
          <w:b/>
          <w:sz w:val="28"/>
          <w:szCs w:val="28"/>
        </w:rPr>
        <w:t>Wilmer Leal</w:t>
      </w:r>
      <w:r>
        <w:rPr>
          <w:rFonts w:ascii="Arial" w:hAnsi="Arial" w:cs="Arial"/>
          <w:sz w:val="28"/>
          <w:szCs w:val="28"/>
        </w:rPr>
        <w:t xml:space="preserve"> </w:t>
      </w:r>
    </w:p>
    <w:p w:rsidR="00A251F8" w:rsidRDefault="00A251F8" w:rsidP="00CC4737">
      <w:pPr>
        <w:spacing w:after="0"/>
        <w:rPr>
          <w:rFonts w:ascii="Arial" w:hAnsi="Arial" w:cs="Arial"/>
          <w:sz w:val="28"/>
          <w:szCs w:val="28"/>
        </w:rPr>
      </w:pPr>
      <w:r w:rsidRPr="00327F5A">
        <w:rPr>
          <w:rFonts w:ascii="Arial" w:hAnsi="Arial" w:cs="Arial"/>
          <w:sz w:val="28"/>
          <w:szCs w:val="28"/>
        </w:rPr>
        <w:t>Representante a la Cámara</w:t>
      </w:r>
      <w:r>
        <w:rPr>
          <w:rFonts w:ascii="Arial" w:hAnsi="Arial" w:cs="Arial"/>
          <w:sz w:val="28"/>
          <w:szCs w:val="28"/>
        </w:rPr>
        <w:t xml:space="preserve">                         </w:t>
      </w:r>
      <w:r w:rsidRPr="00327F5A">
        <w:rPr>
          <w:rFonts w:ascii="Arial" w:hAnsi="Arial" w:cs="Arial"/>
          <w:sz w:val="28"/>
          <w:szCs w:val="28"/>
        </w:rPr>
        <w:t>Representante a la Cámara</w:t>
      </w:r>
    </w:p>
    <w:p w:rsidR="00A251F8" w:rsidRDefault="00A251F8" w:rsidP="00A251F8">
      <w:pPr>
        <w:spacing w:after="0"/>
        <w:rPr>
          <w:rFonts w:ascii="Arial" w:hAnsi="Arial" w:cs="Arial"/>
          <w:sz w:val="28"/>
          <w:szCs w:val="28"/>
        </w:rPr>
      </w:pPr>
      <w:r>
        <w:rPr>
          <w:rFonts w:ascii="Arial" w:hAnsi="Arial" w:cs="Arial"/>
          <w:sz w:val="28"/>
          <w:szCs w:val="28"/>
        </w:rPr>
        <w:t xml:space="preserve">Alianza Verde                                               Alianza Verde   </w:t>
      </w:r>
    </w:p>
    <w:p w:rsidR="00A251F8" w:rsidRDefault="00A251F8" w:rsidP="00A251F8">
      <w:pPr>
        <w:spacing w:after="0"/>
        <w:rPr>
          <w:rFonts w:ascii="Arial" w:hAnsi="Arial" w:cs="Arial"/>
          <w:sz w:val="28"/>
          <w:szCs w:val="28"/>
        </w:rPr>
      </w:pPr>
    </w:p>
    <w:p w:rsidR="00A251F8" w:rsidRDefault="00A251F8" w:rsidP="00A251F8">
      <w:pPr>
        <w:spacing w:after="0"/>
        <w:rPr>
          <w:rFonts w:ascii="Arial" w:hAnsi="Arial" w:cs="Arial"/>
          <w:sz w:val="28"/>
          <w:szCs w:val="28"/>
        </w:rPr>
      </w:pPr>
    </w:p>
    <w:p w:rsidR="002A3EAD" w:rsidRDefault="002A3EAD" w:rsidP="00A251F8">
      <w:pPr>
        <w:spacing w:after="0"/>
        <w:rPr>
          <w:rFonts w:ascii="Arial" w:hAnsi="Arial" w:cs="Arial"/>
          <w:b/>
          <w:sz w:val="28"/>
          <w:szCs w:val="28"/>
        </w:rPr>
      </w:pPr>
    </w:p>
    <w:p w:rsidR="002A3EAD" w:rsidRDefault="002A3EAD" w:rsidP="00A251F8">
      <w:pPr>
        <w:spacing w:after="0"/>
        <w:rPr>
          <w:rFonts w:ascii="Arial" w:hAnsi="Arial" w:cs="Arial"/>
          <w:b/>
          <w:sz w:val="28"/>
          <w:szCs w:val="28"/>
        </w:rPr>
      </w:pPr>
    </w:p>
    <w:p w:rsidR="00A251F8" w:rsidRPr="00A251F8" w:rsidRDefault="00A251F8" w:rsidP="00A251F8">
      <w:pPr>
        <w:spacing w:after="0"/>
        <w:rPr>
          <w:rFonts w:ascii="Arial" w:hAnsi="Arial" w:cs="Arial"/>
          <w:b/>
          <w:sz w:val="28"/>
          <w:szCs w:val="28"/>
        </w:rPr>
      </w:pPr>
      <w:r w:rsidRPr="00A251F8">
        <w:rPr>
          <w:rFonts w:ascii="Arial" w:hAnsi="Arial" w:cs="Arial"/>
          <w:b/>
          <w:sz w:val="28"/>
          <w:szCs w:val="28"/>
        </w:rPr>
        <w:t xml:space="preserve">Mauricio Toro                </w:t>
      </w:r>
      <w:r>
        <w:rPr>
          <w:rFonts w:ascii="Arial" w:hAnsi="Arial" w:cs="Arial"/>
          <w:b/>
          <w:sz w:val="28"/>
          <w:szCs w:val="28"/>
        </w:rPr>
        <w:t xml:space="preserve">                              </w:t>
      </w:r>
      <w:r w:rsidRPr="00A251F8">
        <w:rPr>
          <w:rFonts w:ascii="Arial" w:hAnsi="Arial" w:cs="Arial"/>
          <w:b/>
          <w:sz w:val="28"/>
          <w:szCs w:val="28"/>
        </w:rPr>
        <w:t>Catalina Ortiz</w:t>
      </w:r>
    </w:p>
    <w:p w:rsidR="00A251F8" w:rsidRDefault="00A251F8" w:rsidP="00A251F8">
      <w:pPr>
        <w:spacing w:after="0"/>
        <w:rPr>
          <w:rFonts w:ascii="Arial" w:hAnsi="Arial" w:cs="Arial"/>
          <w:sz w:val="28"/>
          <w:szCs w:val="28"/>
        </w:rPr>
      </w:pPr>
      <w:r>
        <w:rPr>
          <w:rFonts w:ascii="Arial" w:hAnsi="Arial" w:cs="Arial"/>
          <w:sz w:val="28"/>
          <w:szCs w:val="28"/>
        </w:rPr>
        <w:t>Representante a la Cámara                         Representante a la Cámara</w:t>
      </w:r>
    </w:p>
    <w:p w:rsidR="00A251F8" w:rsidRDefault="00A251F8" w:rsidP="00A251F8">
      <w:pPr>
        <w:spacing w:after="0"/>
        <w:rPr>
          <w:rFonts w:ascii="Arial" w:hAnsi="Arial" w:cs="Arial"/>
          <w:sz w:val="28"/>
          <w:szCs w:val="28"/>
        </w:rPr>
      </w:pPr>
      <w:r>
        <w:rPr>
          <w:rFonts w:ascii="Arial" w:hAnsi="Arial" w:cs="Arial"/>
          <w:sz w:val="28"/>
          <w:szCs w:val="28"/>
        </w:rPr>
        <w:t xml:space="preserve">Alianza Verde                                               Alianza Verde                                        </w:t>
      </w:r>
    </w:p>
    <w:p w:rsidR="0007322C" w:rsidRDefault="00A251F8" w:rsidP="0007322C">
      <w:pPr>
        <w:spacing w:after="0"/>
        <w:rPr>
          <w:rFonts w:ascii="Arial" w:hAnsi="Arial" w:cs="Arial"/>
          <w:sz w:val="28"/>
          <w:szCs w:val="28"/>
        </w:rPr>
      </w:pPr>
      <w:r>
        <w:rPr>
          <w:rFonts w:ascii="Arial" w:hAnsi="Arial" w:cs="Arial"/>
          <w:sz w:val="28"/>
          <w:szCs w:val="28"/>
        </w:rPr>
        <w:t xml:space="preserve">  </w:t>
      </w:r>
    </w:p>
    <w:p w:rsidR="0007322C" w:rsidRDefault="0007322C" w:rsidP="0007322C">
      <w:pPr>
        <w:spacing w:after="0"/>
        <w:rPr>
          <w:rFonts w:ascii="Arial" w:hAnsi="Arial" w:cs="Arial"/>
          <w:sz w:val="28"/>
          <w:szCs w:val="28"/>
        </w:rPr>
      </w:pPr>
    </w:p>
    <w:p w:rsidR="002A3EAD" w:rsidRDefault="002A3EAD" w:rsidP="0007322C">
      <w:pPr>
        <w:spacing w:after="0"/>
        <w:rPr>
          <w:rFonts w:ascii="Arial" w:hAnsi="Arial" w:cs="Arial"/>
          <w:sz w:val="28"/>
          <w:szCs w:val="28"/>
        </w:rPr>
      </w:pPr>
    </w:p>
    <w:p w:rsidR="002A3EAD" w:rsidRDefault="002A3EAD" w:rsidP="0007322C">
      <w:pPr>
        <w:spacing w:after="0"/>
        <w:rPr>
          <w:rFonts w:ascii="Arial" w:hAnsi="Arial" w:cs="Arial"/>
          <w:sz w:val="28"/>
          <w:szCs w:val="28"/>
        </w:rPr>
      </w:pPr>
    </w:p>
    <w:p w:rsidR="0007322C" w:rsidRDefault="0007322C" w:rsidP="0007322C">
      <w:pPr>
        <w:spacing w:after="0"/>
        <w:rPr>
          <w:rFonts w:ascii="Arial" w:hAnsi="Arial" w:cs="Arial"/>
          <w:sz w:val="28"/>
          <w:szCs w:val="28"/>
        </w:rPr>
      </w:pPr>
    </w:p>
    <w:p w:rsidR="0007322C" w:rsidRDefault="0007322C" w:rsidP="0007322C">
      <w:pPr>
        <w:spacing w:after="0"/>
        <w:rPr>
          <w:rFonts w:ascii="Arial" w:hAnsi="Arial" w:cs="Arial"/>
          <w:sz w:val="28"/>
          <w:szCs w:val="28"/>
        </w:rPr>
      </w:pPr>
      <w:r w:rsidRPr="00327F5A">
        <w:rPr>
          <w:rFonts w:ascii="Arial" w:hAnsi="Arial" w:cs="Arial"/>
          <w:b/>
          <w:sz w:val="28"/>
          <w:szCs w:val="28"/>
        </w:rPr>
        <w:t xml:space="preserve">Eneiro Rincón                                             </w:t>
      </w:r>
      <w:r>
        <w:rPr>
          <w:rFonts w:ascii="Arial" w:hAnsi="Arial" w:cs="Arial"/>
          <w:b/>
          <w:sz w:val="28"/>
          <w:szCs w:val="28"/>
        </w:rPr>
        <w:t xml:space="preserve">Alfredo </w:t>
      </w:r>
      <w:r w:rsidRPr="00327F5A">
        <w:rPr>
          <w:rFonts w:ascii="Arial" w:hAnsi="Arial" w:cs="Arial"/>
          <w:b/>
          <w:sz w:val="28"/>
          <w:szCs w:val="28"/>
        </w:rPr>
        <w:t>Deluque</w:t>
      </w:r>
    </w:p>
    <w:p w:rsidR="0007322C" w:rsidRDefault="0007322C" w:rsidP="0007322C">
      <w:pPr>
        <w:spacing w:after="0"/>
        <w:rPr>
          <w:rFonts w:ascii="Arial" w:hAnsi="Arial" w:cs="Arial"/>
          <w:sz w:val="28"/>
          <w:szCs w:val="28"/>
        </w:rPr>
      </w:pPr>
      <w:r w:rsidRPr="00327F5A">
        <w:rPr>
          <w:rFonts w:ascii="Arial" w:hAnsi="Arial" w:cs="Arial"/>
          <w:sz w:val="28"/>
          <w:szCs w:val="28"/>
        </w:rPr>
        <w:t>Representante a la Cámara</w:t>
      </w:r>
      <w:r>
        <w:rPr>
          <w:rFonts w:ascii="Arial" w:hAnsi="Arial" w:cs="Arial"/>
          <w:sz w:val="28"/>
          <w:szCs w:val="28"/>
        </w:rPr>
        <w:t xml:space="preserve">                         </w:t>
      </w:r>
      <w:r w:rsidRPr="00327F5A">
        <w:rPr>
          <w:rFonts w:ascii="Arial" w:hAnsi="Arial" w:cs="Arial"/>
          <w:sz w:val="28"/>
          <w:szCs w:val="28"/>
        </w:rPr>
        <w:t>Representante a la Cámara</w:t>
      </w:r>
    </w:p>
    <w:p w:rsidR="0007322C" w:rsidRDefault="0007322C" w:rsidP="0007322C">
      <w:pPr>
        <w:spacing w:after="0"/>
        <w:rPr>
          <w:rFonts w:ascii="Arial" w:hAnsi="Arial" w:cs="Arial"/>
          <w:sz w:val="28"/>
          <w:szCs w:val="28"/>
        </w:rPr>
      </w:pPr>
      <w:r>
        <w:rPr>
          <w:rFonts w:ascii="Arial" w:hAnsi="Arial" w:cs="Arial"/>
          <w:sz w:val="28"/>
          <w:szCs w:val="28"/>
        </w:rPr>
        <w:t>Partido Liberal                                              Partido de la U</w:t>
      </w:r>
    </w:p>
    <w:p w:rsidR="0007322C" w:rsidRDefault="0007322C" w:rsidP="0007322C">
      <w:pPr>
        <w:spacing w:after="0"/>
        <w:rPr>
          <w:rFonts w:ascii="Arial" w:hAnsi="Arial" w:cs="Arial"/>
          <w:sz w:val="28"/>
          <w:szCs w:val="28"/>
        </w:rPr>
      </w:pPr>
    </w:p>
    <w:p w:rsidR="0007322C" w:rsidRDefault="0007322C" w:rsidP="0007322C">
      <w:pPr>
        <w:spacing w:after="0"/>
        <w:rPr>
          <w:rFonts w:ascii="Arial" w:hAnsi="Arial" w:cs="Arial"/>
          <w:sz w:val="28"/>
          <w:szCs w:val="28"/>
        </w:rPr>
      </w:pPr>
    </w:p>
    <w:p w:rsidR="0007322C" w:rsidRDefault="0007322C" w:rsidP="0007322C">
      <w:pPr>
        <w:spacing w:after="0"/>
        <w:rPr>
          <w:rFonts w:ascii="Arial" w:hAnsi="Arial" w:cs="Arial"/>
          <w:sz w:val="28"/>
          <w:szCs w:val="28"/>
        </w:rPr>
      </w:pPr>
    </w:p>
    <w:p w:rsidR="002A3EAD" w:rsidRDefault="002A3EAD" w:rsidP="0007322C">
      <w:pPr>
        <w:spacing w:after="0"/>
        <w:rPr>
          <w:rFonts w:ascii="Arial" w:hAnsi="Arial" w:cs="Arial"/>
          <w:sz w:val="28"/>
          <w:szCs w:val="28"/>
        </w:rPr>
      </w:pPr>
    </w:p>
    <w:p w:rsidR="0007322C" w:rsidRPr="001902FF" w:rsidRDefault="0007322C" w:rsidP="0007322C">
      <w:pPr>
        <w:spacing w:after="0"/>
        <w:rPr>
          <w:rFonts w:ascii="Arial" w:hAnsi="Arial" w:cs="Arial"/>
          <w:b/>
          <w:sz w:val="28"/>
          <w:szCs w:val="28"/>
        </w:rPr>
      </w:pPr>
    </w:p>
    <w:p w:rsidR="0007322C" w:rsidRPr="001902FF" w:rsidRDefault="0007322C" w:rsidP="0007322C">
      <w:pPr>
        <w:spacing w:after="0"/>
        <w:rPr>
          <w:rFonts w:ascii="Arial" w:hAnsi="Arial" w:cs="Arial"/>
          <w:b/>
          <w:sz w:val="28"/>
          <w:szCs w:val="28"/>
        </w:rPr>
      </w:pPr>
      <w:r w:rsidRPr="001902FF">
        <w:rPr>
          <w:rFonts w:ascii="Arial" w:hAnsi="Arial" w:cs="Arial"/>
          <w:b/>
          <w:sz w:val="28"/>
          <w:szCs w:val="28"/>
        </w:rPr>
        <w:t xml:space="preserve">Alejandro Vega </w:t>
      </w:r>
      <w:r>
        <w:rPr>
          <w:rFonts w:ascii="Arial" w:hAnsi="Arial" w:cs="Arial"/>
          <w:b/>
          <w:sz w:val="28"/>
          <w:szCs w:val="28"/>
        </w:rPr>
        <w:t xml:space="preserve">                                          Flora Perdomo</w:t>
      </w:r>
    </w:p>
    <w:p w:rsidR="0007322C" w:rsidRDefault="0007322C" w:rsidP="0007322C">
      <w:pPr>
        <w:spacing w:after="0"/>
        <w:rPr>
          <w:rFonts w:ascii="Arial" w:hAnsi="Arial" w:cs="Arial"/>
          <w:sz w:val="28"/>
          <w:szCs w:val="28"/>
        </w:rPr>
      </w:pPr>
      <w:r w:rsidRPr="00327F5A">
        <w:rPr>
          <w:rFonts w:ascii="Arial" w:hAnsi="Arial" w:cs="Arial"/>
          <w:sz w:val="28"/>
          <w:szCs w:val="28"/>
        </w:rPr>
        <w:t>Representante a la Cámara</w:t>
      </w:r>
      <w:r>
        <w:rPr>
          <w:rFonts w:ascii="Arial" w:hAnsi="Arial" w:cs="Arial"/>
          <w:sz w:val="28"/>
          <w:szCs w:val="28"/>
        </w:rPr>
        <w:t xml:space="preserve">                         </w:t>
      </w:r>
      <w:r w:rsidRPr="00327F5A">
        <w:rPr>
          <w:rFonts w:ascii="Arial" w:hAnsi="Arial" w:cs="Arial"/>
          <w:sz w:val="28"/>
          <w:szCs w:val="28"/>
        </w:rPr>
        <w:t>Representante a la Cámara</w:t>
      </w:r>
      <w:r>
        <w:rPr>
          <w:rFonts w:ascii="Arial" w:hAnsi="Arial" w:cs="Arial"/>
          <w:sz w:val="28"/>
          <w:szCs w:val="28"/>
        </w:rPr>
        <w:t xml:space="preserve"> </w:t>
      </w:r>
    </w:p>
    <w:p w:rsidR="0007322C" w:rsidRDefault="0007322C" w:rsidP="0007322C">
      <w:pPr>
        <w:spacing w:after="0"/>
        <w:rPr>
          <w:rFonts w:ascii="Arial" w:hAnsi="Arial" w:cs="Arial"/>
          <w:sz w:val="28"/>
          <w:szCs w:val="28"/>
        </w:rPr>
      </w:pPr>
      <w:r>
        <w:rPr>
          <w:rFonts w:ascii="Arial" w:hAnsi="Arial" w:cs="Arial"/>
          <w:sz w:val="28"/>
          <w:szCs w:val="28"/>
        </w:rPr>
        <w:t>Partido Liberal                                              Partido Liberal</w:t>
      </w:r>
    </w:p>
    <w:p w:rsidR="005114D9" w:rsidRDefault="005114D9" w:rsidP="0007322C">
      <w:pPr>
        <w:spacing w:after="0"/>
        <w:rPr>
          <w:rFonts w:ascii="Arial" w:hAnsi="Arial" w:cs="Arial"/>
          <w:sz w:val="28"/>
          <w:szCs w:val="28"/>
        </w:rPr>
      </w:pPr>
    </w:p>
    <w:p w:rsidR="005114D9" w:rsidRDefault="005114D9" w:rsidP="0007322C">
      <w:pPr>
        <w:spacing w:after="0"/>
        <w:rPr>
          <w:rFonts w:ascii="Arial" w:hAnsi="Arial" w:cs="Arial"/>
          <w:sz w:val="28"/>
          <w:szCs w:val="28"/>
        </w:rPr>
      </w:pPr>
    </w:p>
    <w:p w:rsidR="005114D9" w:rsidRDefault="005114D9" w:rsidP="0007322C">
      <w:pPr>
        <w:spacing w:after="0"/>
        <w:rPr>
          <w:rFonts w:ascii="Arial" w:hAnsi="Arial" w:cs="Arial"/>
          <w:sz w:val="28"/>
          <w:szCs w:val="28"/>
        </w:rPr>
      </w:pPr>
    </w:p>
    <w:p w:rsidR="005114D9" w:rsidRDefault="005114D9" w:rsidP="0007322C">
      <w:pPr>
        <w:spacing w:after="0"/>
        <w:rPr>
          <w:rFonts w:ascii="Arial" w:hAnsi="Arial" w:cs="Arial"/>
          <w:sz w:val="28"/>
          <w:szCs w:val="28"/>
        </w:rPr>
      </w:pPr>
    </w:p>
    <w:p w:rsidR="005114D9" w:rsidRPr="005114D9" w:rsidRDefault="005114D9" w:rsidP="0007322C">
      <w:pPr>
        <w:spacing w:after="0"/>
        <w:rPr>
          <w:rFonts w:ascii="Arial" w:hAnsi="Arial" w:cs="Arial"/>
          <w:b/>
          <w:sz w:val="28"/>
          <w:szCs w:val="28"/>
        </w:rPr>
      </w:pPr>
      <w:r>
        <w:rPr>
          <w:rFonts w:ascii="Arial" w:hAnsi="Arial" w:cs="Arial"/>
          <w:b/>
          <w:sz w:val="28"/>
          <w:szCs w:val="28"/>
        </w:rPr>
        <w:t>Carlos Bonilla</w:t>
      </w:r>
      <w:r w:rsidR="00FA65C6">
        <w:rPr>
          <w:rFonts w:ascii="Arial" w:hAnsi="Arial" w:cs="Arial"/>
          <w:b/>
          <w:sz w:val="28"/>
          <w:szCs w:val="28"/>
        </w:rPr>
        <w:t xml:space="preserve">                                              José Caicedo</w:t>
      </w:r>
    </w:p>
    <w:p w:rsidR="00FA65C6" w:rsidRDefault="00FA65C6" w:rsidP="0007322C">
      <w:pPr>
        <w:spacing w:after="0"/>
        <w:rPr>
          <w:rFonts w:ascii="Arial" w:hAnsi="Arial" w:cs="Arial"/>
          <w:sz w:val="28"/>
          <w:szCs w:val="28"/>
        </w:rPr>
      </w:pPr>
      <w:r>
        <w:rPr>
          <w:rFonts w:ascii="Arial" w:hAnsi="Arial" w:cs="Arial"/>
          <w:sz w:val="28"/>
          <w:szCs w:val="28"/>
        </w:rPr>
        <w:t>Representante a la Cámara                         Representante a la Cámara</w:t>
      </w:r>
    </w:p>
    <w:p w:rsidR="00FA65C6" w:rsidRDefault="005114D9" w:rsidP="00FA65C6">
      <w:pPr>
        <w:spacing w:after="0"/>
        <w:rPr>
          <w:rFonts w:ascii="Arial" w:hAnsi="Arial" w:cs="Arial"/>
          <w:sz w:val="28"/>
          <w:szCs w:val="28"/>
        </w:rPr>
      </w:pPr>
      <w:r>
        <w:rPr>
          <w:rFonts w:ascii="Arial" w:hAnsi="Arial" w:cs="Arial"/>
          <w:sz w:val="28"/>
          <w:szCs w:val="28"/>
        </w:rPr>
        <w:t>Partido Liberal</w:t>
      </w:r>
      <w:r w:rsidR="00FA65C6">
        <w:rPr>
          <w:rFonts w:ascii="Arial" w:hAnsi="Arial" w:cs="Arial"/>
          <w:sz w:val="28"/>
          <w:szCs w:val="28"/>
        </w:rPr>
        <w:t xml:space="preserve">                                              Partido de la U</w:t>
      </w:r>
    </w:p>
    <w:p w:rsidR="00A251F8" w:rsidRDefault="00A251F8" w:rsidP="00FA65C6">
      <w:pPr>
        <w:spacing w:after="0"/>
        <w:rPr>
          <w:rFonts w:ascii="Arial" w:hAnsi="Arial" w:cs="Arial"/>
          <w:sz w:val="28"/>
          <w:szCs w:val="28"/>
        </w:rPr>
      </w:pPr>
    </w:p>
    <w:p w:rsidR="00A251F8" w:rsidRDefault="00A251F8" w:rsidP="00FA65C6">
      <w:pPr>
        <w:spacing w:after="0"/>
        <w:rPr>
          <w:rFonts w:ascii="Arial" w:hAnsi="Arial" w:cs="Arial"/>
          <w:sz w:val="28"/>
          <w:szCs w:val="28"/>
        </w:rPr>
      </w:pPr>
    </w:p>
    <w:p w:rsidR="002A3EAD" w:rsidRDefault="002A3EAD" w:rsidP="00FA65C6">
      <w:pPr>
        <w:spacing w:after="0"/>
        <w:rPr>
          <w:rFonts w:ascii="Arial" w:hAnsi="Arial" w:cs="Arial"/>
          <w:b/>
          <w:sz w:val="28"/>
          <w:szCs w:val="28"/>
        </w:rPr>
      </w:pPr>
    </w:p>
    <w:p w:rsidR="002A3EAD" w:rsidRDefault="002A3EAD" w:rsidP="00FA65C6">
      <w:pPr>
        <w:spacing w:after="0"/>
        <w:rPr>
          <w:rFonts w:ascii="Arial" w:hAnsi="Arial" w:cs="Arial"/>
          <w:b/>
          <w:sz w:val="28"/>
          <w:szCs w:val="28"/>
        </w:rPr>
      </w:pPr>
    </w:p>
    <w:p w:rsidR="00A251F8" w:rsidRPr="00A251F8" w:rsidRDefault="00A251F8" w:rsidP="00FA65C6">
      <w:pPr>
        <w:spacing w:after="0"/>
        <w:rPr>
          <w:rFonts w:ascii="Arial" w:hAnsi="Arial" w:cs="Arial"/>
          <w:b/>
          <w:sz w:val="28"/>
          <w:szCs w:val="28"/>
        </w:rPr>
      </w:pPr>
      <w:r w:rsidRPr="00A251F8">
        <w:rPr>
          <w:rFonts w:ascii="Arial" w:hAnsi="Arial" w:cs="Arial"/>
          <w:b/>
          <w:sz w:val="28"/>
          <w:szCs w:val="28"/>
        </w:rPr>
        <w:t>María José Pizarro</w:t>
      </w:r>
      <w:r>
        <w:rPr>
          <w:rFonts w:ascii="Arial" w:hAnsi="Arial" w:cs="Arial"/>
          <w:b/>
          <w:sz w:val="28"/>
          <w:szCs w:val="28"/>
        </w:rPr>
        <w:t xml:space="preserve">                                    Jorge Alberto Gómez</w:t>
      </w:r>
    </w:p>
    <w:p w:rsidR="00A251F8" w:rsidRDefault="00A251F8" w:rsidP="00FA65C6">
      <w:pPr>
        <w:spacing w:after="0"/>
        <w:rPr>
          <w:rFonts w:ascii="Arial" w:hAnsi="Arial" w:cs="Arial"/>
          <w:sz w:val="28"/>
          <w:szCs w:val="28"/>
        </w:rPr>
      </w:pPr>
      <w:r>
        <w:rPr>
          <w:rFonts w:ascii="Arial" w:hAnsi="Arial" w:cs="Arial"/>
          <w:sz w:val="28"/>
          <w:szCs w:val="28"/>
        </w:rPr>
        <w:t>Representante a la Cámara                        Representante a la Cámara</w:t>
      </w:r>
    </w:p>
    <w:p w:rsidR="005114D9" w:rsidRDefault="00A251F8" w:rsidP="0007322C">
      <w:pPr>
        <w:spacing w:after="0"/>
        <w:rPr>
          <w:rFonts w:ascii="Arial" w:hAnsi="Arial" w:cs="Arial"/>
          <w:sz w:val="28"/>
          <w:szCs w:val="28"/>
        </w:rPr>
      </w:pPr>
      <w:r>
        <w:rPr>
          <w:rFonts w:ascii="Arial" w:hAnsi="Arial" w:cs="Arial"/>
          <w:sz w:val="28"/>
          <w:szCs w:val="28"/>
        </w:rPr>
        <w:t>Coalición Decentes                                      POLO</w:t>
      </w:r>
    </w:p>
    <w:p w:rsidR="005114D9" w:rsidRDefault="005114D9" w:rsidP="0007322C">
      <w:pPr>
        <w:spacing w:after="0"/>
        <w:rPr>
          <w:rFonts w:ascii="Arial" w:hAnsi="Arial" w:cs="Arial"/>
          <w:sz w:val="28"/>
          <w:szCs w:val="28"/>
        </w:rPr>
      </w:pPr>
    </w:p>
    <w:p w:rsidR="005114D9" w:rsidRDefault="005114D9" w:rsidP="0007322C">
      <w:pPr>
        <w:spacing w:after="0"/>
        <w:rPr>
          <w:rFonts w:ascii="Arial" w:hAnsi="Arial" w:cs="Arial"/>
          <w:b/>
          <w:sz w:val="28"/>
          <w:szCs w:val="28"/>
        </w:rPr>
      </w:pPr>
    </w:p>
    <w:p w:rsidR="002A3EAD" w:rsidRDefault="002A3EAD" w:rsidP="0007322C">
      <w:pPr>
        <w:spacing w:after="0"/>
        <w:rPr>
          <w:rFonts w:ascii="Arial" w:hAnsi="Arial" w:cs="Arial"/>
          <w:b/>
          <w:sz w:val="28"/>
          <w:szCs w:val="28"/>
        </w:rPr>
      </w:pPr>
    </w:p>
    <w:p w:rsidR="002A3EAD" w:rsidRDefault="002A3EAD" w:rsidP="0007322C">
      <w:pPr>
        <w:spacing w:after="0"/>
        <w:rPr>
          <w:rFonts w:ascii="Arial" w:hAnsi="Arial" w:cs="Arial"/>
          <w:b/>
          <w:sz w:val="28"/>
          <w:szCs w:val="28"/>
        </w:rPr>
      </w:pPr>
    </w:p>
    <w:p w:rsidR="002A3EAD" w:rsidRPr="00A54769" w:rsidRDefault="002A3EAD" w:rsidP="0007322C">
      <w:pPr>
        <w:spacing w:after="0"/>
        <w:rPr>
          <w:rFonts w:ascii="Arial" w:hAnsi="Arial" w:cs="Arial"/>
          <w:b/>
          <w:sz w:val="28"/>
          <w:szCs w:val="28"/>
        </w:rPr>
      </w:pPr>
    </w:p>
    <w:p w:rsidR="005114D9" w:rsidRPr="00A54769" w:rsidRDefault="00FA65C6" w:rsidP="0007322C">
      <w:pPr>
        <w:spacing w:after="0"/>
        <w:rPr>
          <w:rFonts w:ascii="Arial" w:hAnsi="Arial" w:cs="Arial"/>
          <w:b/>
          <w:sz w:val="28"/>
          <w:szCs w:val="28"/>
        </w:rPr>
      </w:pPr>
      <w:r w:rsidRPr="00A54769">
        <w:rPr>
          <w:rFonts w:ascii="Arial" w:hAnsi="Arial" w:cs="Arial"/>
          <w:b/>
          <w:sz w:val="28"/>
          <w:szCs w:val="28"/>
        </w:rPr>
        <w:t>Jorge Enrique Burgos</w:t>
      </w:r>
      <w:r w:rsidR="00A54769">
        <w:rPr>
          <w:rFonts w:ascii="Arial" w:hAnsi="Arial" w:cs="Arial"/>
          <w:b/>
          <w:sz w:val="28"/>
          <w:szCs w:val="28"/>
        </w:rPr>
        <w:t xml:space="preserve">                                Ángela María Robledo</w:t>
      </w:r>
    </w:p>
    <w:p w:rsidR="00A54769" w:rsidRDefault="00A54769" w:rsidP="0007322C">
      <w:pPr>
        <w:spacing w:after="0"/>
        <w:rPr>
          <w:rFonts w:ascii="Arial" w:hAnsi="Arial" w:cs="Arial"/>
          <w:sz w:val="28"/>
          <w:szCs w:val="28"/>
        </w:rPr>
      </w:pPr>
      <w:r>
        <w:rPr>
          <w:rFonts w:ascii="Arial" w:hAnsi="Arial" w:cs="Arial"/>
          <w:sz w:val="28"/>
          <w:szCs w:val="28"/>
        </w:rPr>
        <w:t>Representante a la Cámara                         Representante a la Cámara</w:t>
      </w:r>
    </w:p>
    <w:p w:rsidR="00FA65C6" w:rsidRDefault="00A54769" w:rsidP="0007322C">
      <w:pPr>
        <w:spacing w:after="0"/>
        <w:rPr>
          <w:rFonts w:ascii="Arial" w:hAnsi="Arial" w:cs="Arial"/>
          <w:sz w:val="28"/>
          <w:szCs w:val="28"/>
        </w:rPr>
      </w:pPr>
      <w:r>
        <w:rPr>
          <w:rFonts w:ascii="Arial" w:hAnsi="Arial" w:cs="Arial"/>
          <w:sz w:val="28"/>
          <w:szCs w:val="28"/>
        </w:rPr>
        <w:t>Partido de la U                                              Colombia Humana</w:t>
      </w:r>
    </w:p>
    <w:p w:rsidR="00A54769" w:rsidRDefault="00A54769" w:rsidP="0007322C">
      <w:pPr>
        <w:spacing w:after="0"/>
        <w:rPr>
          <w:rFonts w:ascii="Arial" w:hAnsi="Arial" w:cs="Arial"/>
          <w:sz w:val="28"/>
          <w:szCs w:val="28"/>
        </w:rPr>
      </w:pPr>
    </w:p>
    <w:p w:rsidR="00A54769" w:rsidRDefault="00A54769" w:rsidP="0007322C">
      <w:pPr>
        <w:spacing w:after="0"/>
        <w:rPr>
          <w:rFonts w:ascii="Arial" w:hAnsi="Arial" w:cs="Arial"/>
          <w:sz w:val="28"/>
          <w:szCs w:val="28"/>
        </w:rPr>
      </w:pPr>
    </w:p>
    <w:p w:rsidR="002A3EAD" w:rsidRDefault="002A3EAD" w:rsidP="0007322C">
      <w:pPr>
        <w:spacing w:after="0"/>
        <w:rPr>
          <w:rFonts w:ascii="Arial" w:hAnsi="Arial" w:cs="Arial"/>
          <w:sz w:val="28"/>
          <w:szCs w:val="28"/>
        </w:rPr>
      </w:pPr>
    </w:p>
    <w:p w:rsidR="002A3EAD" w:rsidRDefault="002A3EAD" w:rsidP="0007322C">
      <w:pPr>
        <w:spacing w:after="0"/>
        <w:rPr>
          <w:rFonts w:ascii="Arial" w:hAnsi="Arial" w:cs="Arial"/>
          <w:sz w:val="28"/>
          <w:szCs w:val="28"/>
        </w:rPr>
      </w:pPr>
    </w:p>
    <w:p w:rsidR="002A3EAD" w:rsidRDefault="002A3EAD" w:rsidP="0007322C">
      <w:pPr>
        <w:spacing w:after="0"/>
        <w:rPr>
          <w:rFonts w:ascii="Arial" w:hAnsi="Arial" w:cs="Arial"/>
          <w:sz w:val="28"/>
          <w:szCs w:val="28"/>
        </w:rPr>
      </w:pPr>
    </w:p>
    <w:p w:rsidR="00A54769" w:rsidRPr="00A54769" w:rsidRDefault="00A54769" w:rsidP="0007322C">
      <w:pPr>
        <w:spacing w:after="0"/>
        <w:rPr>
          <w:rFonts w:ascii="Arial" w:hAnsi="Arial" w:cs="Arial"/>
          <w:b/>
          <w:sz w:val="28"/>
          <w:szCs w:val="28"/>
        </w:rPr>
      </w:pPr>
      <w:r w:rsidRPr="00A54769">
        <w:rPr>
          <w:rFonts w:ascii="Arial" w:hAnsi="Arial" w:cs="Arial"/>
          <w:b/>
          <w:sz w:val="28"/>
          <w:szCs w:val="28"/>
        </w:rPr>
        <w:t>Erasmo Zuleta</w:t>
      </w:r>
      <w:r>
        <w:rPr>
          <w:rFonts w:ascii="Arial" w:hAnsi="Arial" w:cs="Arial"/>
          <w:b/>
          <w:sz w:val="28"/>
          <w:szCs w:val="28"/>
        </w:rPr>
        <w:t xml:space="preserve">                                            Nubia López</w:t>
      </w:r>
    </w:p>
    <w:p w:rsidR="00A54769" w:rsidRDefault="00A54769" w:rsidP="0007322C">
      <w:pPr>
        <w:spacing w:after="0"/>
        <w:rPr>
          <w:rFonts w:ascii="Arial" w:hAnsi="Arial" w:cs="Arial"/>
          <w:sz w:val="28"/>
          <w:szCs w:val="28"/>
        </w:rPr>
      </w:pPr>
      <w:r>
        <w:rPr>
          <w:rFonts w:ascii="Arial" w:hAnsi="Arial" w:cs="Arial"/>
          <w:sz w:val="28"/>
          <w:szCs w:val="28"/>
        </w:rPr>
        <w:t>Representante a la Cámara                         Representante a la Cámara</w:t>
      </w:r>
    </w:p>
    <w:p w:rsidR="00A54769" w:rsidRDefault="00A54769" w:rsidP="0007322C">
      <w:pPr>
        <w:spacing w:after="0"/>
        <w:rPr>
          <w:rFonts w:ascii="Arial" w:hAnsi="Arial" w:cs="Arial"/>
          <w:sz w:val="28"/>
          <w:szCs w:val="28"/>
        </w:rPr>
      </w:pPr>
      <w:r>
        <w:rPr>
          <w:rFonts w:ascii="Arial" w:hAnsi="Arial" w:cs="Arial"/>
          <w:sz w:val="28"/>
          <w:szCs w:val="28"/>
        </w:rPr>
        <w:t>Partido de la U                                             Partido Liberal</w:t>
      </w:r>
    </w:p>
    <w:p w:rsidR="00A54769" w:rsidRDefault="00A54769" w:rsidP="0007322C">
      <w:pPr>
        <w:spacing w:after="0"/>
        <w:rPr>
          <w:rFonts w:ascii="Arial" w:hAnsi="Arial" w:cs="Arial"/>
          <w:sz w:val="28"/>
          <w:szCs w:val="28"/>
        </w:rPr>
      </w:pPr>
    </w:p>
    <w:p w:rsidR="00A54769" w:rsidRDefault="00A54769" w:rsidP="0007322C">
      <w:pPr>
        <w:spacing w:after="0"/>
        <w:rPr>
          <w:rFonts w:ascii="Arial" w:hAnsi="Arial" w:cs="Arial"/>
          <w:sz w:val="28"/>
          <w:szCs w:val="28"/>
        </w:rPr>
      </w:pPr>
    </w:p>
    <w:p w:rsidR="002A3EAD" w:rsidRDefault="002A3EAD" w:rsidP="0007322C">
      <w:pPr>
        <w:spacing w:after="0"/>
        <w:rPr>
          <w:rFonts w:ascii="Arial" w:hAnsi="Arial" w:cs="Arial"/>
          <w:sz w:val="28"/>
          <w:szCs w:val="28"/>
        </w:rPr>
      </w:pPr>
    </w:p>
    <w:p w:rsidR="002A3EAD" w:rsidRDefault="002A3EAD" w:rsidP="0007322C">
      <w:pPr>
        <w:spacing w:after="0"/>
        <w:rPr>
          <w:rFonts w:ascii="Arial" w:hAnsi="Arial" w:cs="Arial"/>
          <w:sz w:val="28"/>
          <w:szCs w:val="28"/>
        </w:rPr>
      </w:pPr>
    </w:p>
    <w:p w:rsidR="00A54769" w:rsidRPr="00A54769" w:rsidRDefault="00A54769" w:rsidP="0007322C">
      <w:pPr>
        <w:spacing w:after="0"/>
        <w:rPr>
          <w:rFonts w:ascii="Arial" w:hAnsi="Arial" w:cs="Arial"/>
          <w:b/>
          <w:sz w:val="28"/>
          <w:szCs w:val="28"/>
        </w:rPr>
      </w:pPr>
      <w:r w:rsidRPr="00A54769">
        <w:rPr>
          <w:rFonts w:ascii="Arial" w:hAnsi="Arial" w:cs="Arial"/>
          <w:b/>
          <w:sz w:val="28"/>
          <w:szCs w:val="28"/>
        </w:rPr>
        <w:t>Silvio Carrasquilla</w:t>
      </w:r>
      <w:r>
        <w:rPr>
          <w:rFonts w:ascii="Arial" w:hAnsi="Arial" w:cs="Arial"/>
          <w:b/>
          <w:sz w:val="28"/>
          <w:szCs w:val="28"/>
        </w:rPr>
        <w:t xml:space="preserve">                                      Wilmer Carrillo</w:t>
      </w:r>
    </w:p>
    <w:p w:rsidR="00A54769" w:rsidRDefault="00A54769" w:rsidP="0007322C">
      <w:pPr>
        <w:spacing w:after="0"/>
        <w:rPr>
          <w:rFonts w:ascii="Arial" w:hAnsi="Arial" w:cs="Arial"/>
          <w:sz w:val="28"/>
          <w:szCs w:val="28"/>
        </w:rPr>
      </w:pPr>
      <w:r>
        <w:rPr>
          <w:rFonts w:ascii="Arial" w:hAnsi="Arial" w:cs="Arial"/>
          <w:sz w:val="28"/>
          <w:szCs w:val="28"/>
        </w:rPr>
        <w:t>Representante a la Cámara                         Representante a la Cámara</w:t>
      </w:r>
    </w:p>
    <w:p w:rsidR="00A54769" w:rsidRDefault="00A54769" w:rsidP="0007322C">
      <w:pPr>
        <w:spacing w:after="0"/>
        <w:rPr>
          <w:rFonts w:ascii="Arial" w:hAnsi="Arial" w:cs="Arial"/>
          <w:sz w:val="28"/>
          <w:szCs w:val="28"/>
        </w:rPr>
      </w:pPr>
      <w:r>
        <w:rPr>
          <w:rFonts w:ascii="Arial" w:hAnsi="Arial" w:cs="Arial"/>
          <w:sz w:val="28"/>
          <w:szCs w:val="28"/>
        </w:rPr>
        <w:t>Partido Liberal                                              Partido de la U</w:t>
      </w:r>
    </w:p>
    <w:p w:rsidR="00A54769" w:rsidRDefault="00A54769" w:rsidP="0007322C">
      <w:pPr>
        <w:spacing w:after="0"/>
        <w:rPr>
          <w:rFonts w:ascii="Arial" w:hAnsi="Arial" w:cs="Arial"/>
          <w:sz w:val="28"/>
          <w:szCs w:val="28"/>
        </w:rPr>
      </w:pPr>
    </w:p>
    <w:p w:rsidR="00A54769" w:rsidRDefault="00A54769" w:rsidP="0007322C">
      <w:pPr>
        <w:spacing w:after="0"/>
        <w:rPr>
          <w:rFonts w:ascii="Arial" w:hAnsi="Arial" w:cs="Arial"/>
          <w:sz w:val="28"/>
          <w:szCs w:val="28"/>
        </w:rPr>
      </w:pPr>
    </w:p>
    <w:p w:rsidR="002A3EAD" w:rsidRDefault="002A3EAD" w:rsidP="0007322C">
      <w:pPr>
        <w:spacing w:after="0"/>
        <w:rPr>
          <w:rFonts w:ascii="Arial" w:hAnsi="Arial" w:cs="Arial"/>
          <w:b/>
          <w:sz w:val="28"/>
          <w:szCs w:val="28"/>
        </w:rPr>
      </w:pPr>
    </w:p>
    <w:p w:rsidR="002A3EAD" w:rsidRDefault="002A3EAD" w:rsidP="0007322C">
      <w:pPr>
        <w:spacing w:after="0"/>
        <w:rPr>
          <w:rFonts w:ascii="Arial" w:hAnsi="Arial" w:cs="Arial"/>
          <w:b/>
          <w:sz w:val="28"/>
          <w:szCs w:val="28"/>
        </w:rPr>
      </w:pPr>
    </w:p>
    <w:p w:rsidR="002A3EAD" w:rsidRDefault="002A3EAD" w:rsidP="0007322C">
      <w:pPr>
        <w:spacing w:after="0"/>
        <w:rPr>
          <w:rFonts w:ascii="Arial" w:hAnsi="Arial" w:cs="Arial"/>
          <w:b/>
          <w:sz w:val="28"/>
          <w:szCs w:val="28"/>
        </w:rPr>
      </w:pPr>
    </w:p>
    <w:p w:rsidR="002A3EAD" w:rsidRDefault="002A3EAD" w:rsidP="0007322C">
      <w:pPr>
        <w:spacing w:after="0"/>
        <w:rPr>
          <w:rFonts w:ascii="Arial" w:hAnsi="Arial" w:cs="Arial"/>
          <w:b/>
          <w:sz w:val="28"/>
          <w:szCs w:val="28"/>
        </w:rPr>
      </w:pPr>
    </w:p>
    <w:p w:rsidR="00A54769" w:rsidRPr="00A54769" w:rsidRDefault="00A54769" w:rsidP="0007322C">
      <w:pPr>
        <w:spacing w:after="0"/>
        <w:rPr>
          <w:rFonts w:ascii="Arial" w:hAnsi="Arial" w:cs="Arial"/>
          <w:b/>
          <w:sz w:val="28"/>
          <w:szCs w:val="28"/>
        </w:rPr>
      </w:pPr>
      <w:r w:rsidRPr="00A54769">
        <w:rPr>
          <w:rFonts w:ascii="Arial" w:hAnsi="Arial" w:cs="Arial"/>
          <w:b/>
          <w:sz w:val="28"/>
          <w:szCs w:val="28"/>
        </w:rPr>
        <w:t xml:space="preserve">José Salazar </w:t>
      </w:r>
      <w:r>
        <w:rPr>
          <w:rFonts w:ascii="Arial" w:hAnsi="Arial" w:cs="Arial"/>
          <w:b/>
          <w:sz w:val="28"/>
          <w:szCs w:val="28"/>
        </w:rPr>
        <w:t xml:space="preserve">                                               Víctor Ortiz</w:t>
      </w:r>
    </w:p>
    <w:p w:rsidR="00A54769" w:rsidRDefault="00A54769" w:rsidP="0007322C">
      <w:pPr>
        <w:spacing w:after="0"/>
        <w:rPr>
          <w:rFonts w:ascii="Arial" w:hAnsi="Arial" w:cs="Arial"/>
          <w:sz w:val="28"/>
          <w:szCs w:val="28"/>
        </w:rPr>
      </w:pPr>
      <w:r>
        <w:rPr>
          <w:rFonts w:ascii="Arial" w:hAnsi="Arial" w:cs="Arial"/>
          <w:sz w:val="28"/>
          <w:szCs w:val="28"/>
        </w:rPr>
        <w:t>Representante a la Cámara                         Representante a la Cámara</w:t>
      </w:r>
    </w:p>
    <w:p w:rsidR="00A54769" w:rsidRDefault="00A54769" w:rsidP="0007322C">
      <w:pPr>
        <w:spacing w:after="0"/>
        <w:rPr>
          <w:rFonts w:ascii="Arial" w:hAnsi="Arial" w:cs="Arial"/>
          <w:sz w:val="28"/>
          <w:szCs w:val="28"/>
        </w:rPr>
      </w:pPr>
      <w:r>
        <w:rPr>
          <w:rFonts w:ascii="Arial" w:hAnsi="Arial" w:cs="Arial"/>
          <w:sz w:val="28"/>
          <w:szCs w:val="28"/>
        </w:rPr>
        <w:t xml:space="preserve">Partido de la U                                              Partido Liberal </w:t>
      </w:r>
    </w:p>
    <w:p w:rsidR="00A54769" w:rsidRDefault="00A54769" w:rsidP="0007322C">
      <w:pPr>
        <w:spacing w:after="0"/>
        <w:rPr>
          <w:rFonts w:ascii="Arial" w:hAnsi="Arial" w:cs="Arial"/>
          <w:sz w:val="28"/>
          <w:szCs w:val="28"/>
        </w:rPr>
      </w:pPr>
    </w:p>
    <w:p w:rsidR="00A54769" w:rsidRDefault="00A54769" w:rsidP="0007322C">
      <w:pPr>
        <w:spacing w:after="0"/>
        <w:rPr>
          <w:rFonts w:ascii="Arial" w:hAnsi="Arial" w:cs="Arial"/>
          <w:sz w:val="28"/>
          <w:szCs w:val="28"/>
        </w:rPr>
      </w:pPr>
    </w:p>
    <w:p w:rsidR="00A54769" w:rsidRDefault="00A54769" w:rsidP="0007322C">
      <w:pPr>
        <w:spacing w:after="0"/>
        <w:rPr>
          <w:rFonts w:ascii="Arial" w:hAnsi="Arial" w:cs="Arial"/>
          <w:sz w:val="28"/>
          <w:szCs w:val="28"/>
        </w:rPr>
      </w:pPr>
    </w:p>
    <w:p w:rsidR="00A54769" w:rsidRDefault="00A54769" w:rsidP="0007322C">
      <w:pPr>
        <w:spacing w:after="0"/>
        <w:rPr>
          <w:rFonts w:ascii="Arial" w:hAnsi="Arial" w:cs="Arial"/>
          <w:sz w:val="28"/>
          <w:szCs w:val="28"/>
        </w:rPr>
      </w:pPr>
    </w:p>
    <w:p w:rsidR="00790BCA" w:rsidRDefault="00790BCA" w:rsidP="0007322C">
      <w:pPr>
        <w:spacing w:after="0"/>
        <w:rPr>
          <w:rFonts w:ascii="Arial" w:hAnsi="Arial" w:cs="Arial"/>
          <w:sz w:val="28"/>
          <w:szCs w:val="28"/>
        </w:rPr>
      </w:pPr>
    </w:p>
    <w:p w:rsidR="00790BCA" w:rsidRDefault="00790BCA" w:rsidP="0007322C">
      <w:pPr>
        <w:spacing w:after="0"/>
        <w:rPr>
          <w:rFonts w:ascii="Arial" w:hAnsi="Arial" w:cs="Arial"/>
          <w:sz w:val="28"/>
          <w:szCs w:val="28"/>
        </w:rPr>
      </w:pPr>
    </w:p>
    <w:p w:rsidR="00A54769" w:rsidRPr="00A54769" w:rsidRDefault="00A54769" w:rsidP="0007322C">
      <w:pPr>
        <w:spacing w:after="0"/>
        <w:rPr>
          <w:rFonts w:ascii="Arial" w:hAnsi="Arial" w:cs="Arial"/>
          <w:b/>
          <w:sz w:val="28"/>
          <w:szCs w:val="28"/>
        </w:rPr>
      </w:pPr>
      <w:r w:rsidRPr="00A54769">
        <w:rPr>
          <w:rFonts w:ascii="Arial" w:hAnsi="Arial" w:cs="Arial"/>
          <w:b/>
          <w:sz w:val="28"/>
          <w:szCs w:val="28"/>
        </w:rPr>
        <w:t xml:space="preserve">Alonso José del Rio </w:t>
      </w:r>
      <w:r>
        <w:rPr>
          <w:rFonts w:ascii="Arial" w:hAnsi="Arial" w:cs="Arial"/>
          <w:b/>
          <w:sz w:val="28"/>
          <w:szCs w:val="28"/>
        </w:rPr>
        <w:t xml:space="preserve">                                  Jairo Cala</w:t>
      </w:r>
    </w:p>
    <w:p w:rsidR="00A54769" w:rsidRDefault="00A54769" w:rsidP="0007322C">
      <w:pPr>
        <w:spacing w:after="0"/>
        <w:rPr>
          <w:rFonts w:ascii="Arial" w:hAnsi="Arial" w:cs="Arial"/>
          <w:sz w:val="28"/>
          <w:szCs w:val="28"/>
        </w:rPr>
      </w:pPr>
      <w:r>
        <w:rPr>
          <w:rFonts w:ascii="Arial" w:hAnsi="Arial" w:cs="Arial"/>
          <w:sz w:val="28"/>
          <w:szCs w:val="28"/>
        </w:rPr>
        <w:t xml:space="preserve">Representante a la Cámara                         </w:t>
      </w:r>
      <w:r w:rsidR="00CC4737">
        <w:rPr>
          <w:rFonts w:ascii="Arial" w:hAnsi="Arial" w:cs="Arial"/>
          <w:sz w:val="28"/>
          <w:szCs w:val="28"/>
        </w:rPr>
        <w:t>Representante a la Cámara</w:t>
      </w:r>
    </w:p>
    <w:p w:rsidR="00A54769" w:rsidRDefault="00A54769" w:rsidP="0007322C">
      <w:pPr>
        <w:spacing w:after="0"/>
        <w:rPr>
          <w:rFonts w:ascii="Arial" w:hAnsi="Arial" w:cs="Arial"/>
          <w:sz w:val="28"/>
          <w:szCs w:val="28"/>
        </w:rPr>
      </w:pPr>
      <w:r>
        <w:rPr>
          <w:rFonts w:ascii="Arial" w:hAnsi="Arial" w:cs="Arial"/>
          <w:sz w:val="28"/>
          <w:szCs w:val="28"/>
        </w:rPr>
        <w:t>Partido de la U</w:t>
      </w:r>
      <w:r w:rsidR="00CC4737">
        <w:rPr>
          <w:rFonts w:ascii="Arial" w:hAnsi="Arial" w:cs="Arial"/>
          <w:sz w:val="28"/>
          <w:szCs w:val="28"/>
        </w:rPr>
        <w:t xml:space="preserve">                                              FARC</w:t>
      </w:r>
    </w:p>
    <w:p w:rsidR="00CC4737" w:rsidRDefault="00CC4737" w:rsidP="0007322C">
      <w:pPr>
        <w:spacing w:after="0"/>
        <w:rPr>
          <w:rFonts w:ascii="Arial" w:hAnsi="Arial" w:cs="Arial"/>
          <w:sz w:val="28"/>
          <w:szCs w:val="28"/>
        </w:rPr>
      </w:pPr>
    </w:p>
    <w:p w:rsidR="00CC4737" w:rsidRDefault="00CC4737" w:rsidP="0007322C">
      <w:pPr>
        <w:spacing w:after="0"/>
        <w:rPr>
          <w:rFonts w:ascii="Arial" w:hAnsi="Arial" w:cs="Arial"/>
          <w:sz w:val="28"/>
          <w:szCs w:val="28"/>
        </w:rPr>
      </w:pPr>
    </w:p>
    <w:p w:rsidR="002A3EAD" w:rsidRDefault="002A3EAD" w:rsidP="0007322C">
      <w:pPr>
        <w:spacing w:after="0"/>
        <w:rPr>
          <w:rFonts w:ascii="Arial" w:hAnsi="Arial" w:cs="Arial"/>
          <w:sz w:val="28"/>
          <w:szCs w:val="28"/>
        </w:rPr>
      </w:pPr>
    </w:p>
    <w:p w:rsidR="002A3EAD" w:rsidRDefault="002A3EAD" w:rsidP="0007322C">
      <w:pPr>
        <w:spacing w:after="0"/>
        <w:rPr>
          <w:rFonts w:ascii="Arial" w:hAnsi="Arial" w:cs="Arial"/>
          <w:sz w:val="28"/>
          <w:szCs w:val="28"/>
        </w:rPr>
      </w:pPr>
    </w:p>
    <w:p w:rsidR="002A3EAD" w:rsidRDefault="002A3EAD" w:rsidP="0007322C">
      <w:pPr>
        <w:spacing w:after="0"/>
        <w:rPr>
          <w:rFonts w:ascii="Arial" w:hAnsi="Arial" w:cs="Arial"/>
          <w:sz w:val="28"/>
          <w:szCs w:val="28"/>
        </w:rPr>
      </w:pPr>
    </w:p>
    <w:p w:rsidR="00CC4737" w:rsidRPr="00CC4737" w:rsidRDefault="00CC4737" w:rsidP="0007322C">
      <w:pPr>
        <w:spacing w:after="0"/>
        <w:rPr>
          <w:rFonts w:ascii="Arial" w:hAnsi="Arial" w:cs="Arial"/>
          <w:b/>
          <w:sz w:val="28"/>
          <w:szCs w:val="28"/>
        </w:rPr>
      </w:pPr>
      <w:r w:rsidRPr="00CC4737">
        <w:rPr>
          <w:rFonts w:ascii="Arial" w:hAnsi="Arial" w:cs="Arial"/>
          <w:b/>
          <w:sz w:val="28"/>
          <w:szCs w:val="28"/>
        </w:rPr>
        <w:t>Andrés Calle</w:t>
      </w:r>
      <w:r>
        <w:rPr>
          <w:rFonts w:ascii="Arial" w:hAnsi="Arial" w:cs="Arial"/>
          <w:b/>
          <w:sz w:val="28"/>
          <w:szCs w:val="28"/>
        </w:rPr>
        <w:t xml:space="preserve">                                               César Pachón </w:t>
      </w:r>
    </w:p>
    <w:p w:rsidR="00CC4737" w:rsidRDefault="00CC4737" w:rsidP="00CC4737">
      <w:pPr>
        <w:spacing w:after="0"/>
        <w:rPr>
          <w:rFonts w:ascii="Arial" w:hAnsi="Arial" w:cs="Arial"/>
          <w:sz w:val="28"/>
          <w:szCs w:val="28"/>
        </w:rPr>
      </w:pPr>
      <w:r>
        <w:rPr>
          <w:rFonts w:ascii="Arial" w:hAnsi="Arial" w:cs="Arial"/>
          <w:sz w:val="28"/>
          <w:szCs w:val="28"/>
        </w:rPr>
        <w:t>Representante a la Cámara                         Representante a la Cámara</w:t>
      </w:r>
    </w:p>
    <w:p w:rsidR="00CC4737" w:rsidRDefault="00CC4737" w:rsidP="0007322C">
      <w:pPr>
        <w:spacing w:after="0"/>
        <w:rPr>
          <w:rFonts w:ascii="Arial" w:hAnsi="Arial" w:cs="Arial"/>
          <w:sz w:val="28"/>
          <w:szCs w:val="28"/>
        </w:rPr>
      </w:pPr>
      <w:r>
        <w:rPr>
          <w:rFonts w:ascii="Arial" w:hAnsi="Arial" w:cs="Arial"/>
          <w:sz w:val="28"/>
          <w:szCs w:val="28"/>
        </w:rPr>
        <w:t>Partido Liberal                                              Mais</w:t>
      </w:r>
    </w:p>
    <w:p w:rsidR="00CC4737" w:rsidRDefault="00CC4737" w:rsidP="0007322C">
      <w:pPr>
        <w:spacing w:after="0"/>
        <w:rPr>
          <w:rFonts w:ascii="Arial" w:hAnsi="Arial" w:cs="Arial"/>
          <w:sz w:val="28"/>
          <w:szCs w:val="28"/>
        </w:rPr>
      </w:pPr>
    </w:p>
    <w:p w:rsidR="00CC4737" w:rsidRDefault="00CC4737" w:rsidP="0007322C">
      <w:pPr>
        <w:spacing w:after="0"/>
        <w:rPr>
          <w:rFonts w:ascii="Arial" w:hAnsi="Arial" w:cs="Arial"/>
          <w:sz w:val="28"/>
          <w:szCs w:val="28"/>
        </w:rPr>
      </w:pPr>
    </w:p>
    <w:p w:rsidR="002A3EAD" w:rsidRDefault="002A3EAD" w:rsidP="0007322C">
      <w:pPr>
        <w:spacing w:after="0"/>
        <w:rPr>
          <w:rFonts w:ascii="Arial" w:hAnsi="Arial" w:cs="Arial"/>
          <w:sz w:val="28"/>
          <w:szCs w:val="28"/>
        </w:rPr>
      </w:pPr>
    </w:p>
    <w:p w:rsidR="002A3EAD" w:rsidRDefault="002A3EAD" w:rsidP="0007322C">
      <w:pPr>
        <w:spacing w:after="0"/>
        <w:rPr>
          <w:rFonts w:ascii="Arial" w:hAnsi="Arial" w:cs="Arial"/>
          <w:sz w:val="28"/>
          <w:szCs w:val="28"/>
        </w:rPr>
      </w:pPr>
    </w:p>
    <w:p w:rsidR="00CC4737" w:rsidRPr="00CC4737" w:rsidRDefault="00CC4737" w:rsidP="0007322C">
      <w:pPr>
        <w:spacing w:after="0"/>
        <w:rPr>
          <w:rFonts w:ascii="Arial" w:hAnsi="Arial" w:cs="Arial"/>
          <w:b/>
          <w:sz w:val="28"/>
          <w:szCs w:val="28"/>
        </w:rPr>
      </w:pPr>
      <w:r w:rsidRPr="00CC4737">
        <w:rPr>
          <w:rFonts w:ascii="Arial" w:hAnsi="Arial" w:cs="Arial"/>
          <w:b/>
          <w:sz w:val="28"/>
          <w:szCs w:val="28"/>
        </w:rPr>
        <w:t>Kelyn Johana González</w:t>
      </w:r>
      <w:r>
        <w:rPr>
          <w:rFonts w:ascii="Arial" w:hAnsi="Arial" w:cs="Arial"/>
          <w:b/>
          <w:sz w:val="28"/>
          <w:szCs w:val="28"/>
        </w:rPr>
        <w:t xml:space="preserve">                             Franklin Lozano</w:t>
      </w:r>
    </w:p>
    <w:p w:rsidR="00CC4737" w:rsidRDefault="00CC4737" w:rsidP="0007322C">
      <w:pPr>
        <w:spacing w:after="0"/>
        <w:rPr>
          <w:rFonts w:ascii="Arial" w:hAnsi="Arial" w:cs="Arial"/>
          <w:sz w:val="28"/>
          <w:szCs w:val="28"/>
        </w:rPr>
      </w:pPr>
      <w:r>
        <w:rPr>
          <w:rFonts w:ascii="Arial" w:hAnsi="Arial" w:cs="Arial"/>
          <w:sz w:val="28"/>
          <w:szCs w:val="28"/>
        </w:rPr>
        <w:t>Representante a la Cámara                         Representante a la Cámara</w:t>
      </w:r>
    </w:p>
    <w:p w:rsidR="00CC4737" w:rsidRDefault="00CC4737" w:rsidP="0007322C">
      <w:pPr>
        <w:spacing w:after="0"/>
        <w:rPr>
          <w:rFonts w:ascii="Arial" w:hAnsi="Arial" w:cs="Arial"/>
          <w:sz w:val="28"/>
          <w:szCs w:val="28"/>
        </w:rPr>
      </w:pPr>
      <w:r>
        <w:rPr>
          <w:rFonts w:ascii="Arial" w:hAnsi="Arial" w:cs="Arial"/>
          <w:sz w:val="28"/>
          <w:szCs w:val="28"/>
        </w:rPr>
        <w:t>Partido Liberal                                              Opción Ciudadana</w:t>
      </w:r>
    </w:p>
    <w:p w:rsidR="00CC4737" w:rsidRDefault="00CC4737" w:rsidP="0007322C">
      <w:pPr>
        <w:spacing w:after="0"/>
        <w:rPr>
          <w:rFonts w:ascii="Arial" w:hAnsi="Arial" w:cs="Arial"/>
          <w:sz w:val="28"/>
          <w:szCs w:val="28"/>
        </w:rPr>
      </w:pPr>
    </w:p>
    <w:p w:rsidR="00CC4737" w:rsidRDefault="00CC4737" w:rsidP="0007322C">
      <w:pPr>
        <w:spacing w:after="0"/>
        <w:rPr>
          <w:rFonts w:ascii="Arial" w:hAnsi="Arial" w:cs="Arial"/>
          <w:sz w:val="28"/>
          <w:szCs w:val="28"/>
        </w:rPr>
      </w:pPr>
    </w:p>
    <w:p w:rsidR="002A3EAD" w:rsidRDefault="002A3EAD" w:rsidP="0007322C">
      <w:pPr>
        <w:spacing w:after="0"/>
        <w:rPr>
          <w:rFonts w:ascii="Arial" w:hAnsi="Arial" w:cs="Arial"/>
          <w:b/>
          <w:sz w:val="28"/>
          <w:szCs w:val="28"/>
        </w:rPr>
      </w:pPr>
    </w:p>
    <w:p w:rsidR="002A3EAD" w:rsidRDefault="002A3EAD" w:rsidP="0007322C">
      <w:pPr>
        <w:spacing w:after="0"/>
        <w:rPr>
          <w:rFonts w:ascii="Arial" w:hAnsi="Arial" w:cs="Arial"/>
          <w:b/>
          <w:sz w:val="28"/>
          <w:szCs w:val="28"/>
        </w:rPr>
      </w:pPr>
    </w:p>
    <w:p w:rsidR="002A3EAD" w:rsidRDefault="002A3EAD" w:rsidP="0007322C">
      <w:pPr>
        <w:spacing w:after="0"/>
        <w:rPr>
          <w:rFonts w:ascii="Arial" w:hAnsi="Arial" w:cs="Arial"/>
          <w:b/>
          <w:sz w:val="28"/>
          <w:szCs w:val="28"/>
        </w:rPr>
      </w:pPr>
    </w:p>
    <w:p w:rsidR="00CC4737" w:rsidRPr="00CC4737" w:rsidRDefault="00CC4737" w:rsidP="0007322C">
      <w:pPr>
        <w:spacing w:after="0"/>
        <w:rPr>
          <w:rFonts w:ascii="Arial" w:hAnsi="Arial" w:cs="Arial"/>
          <w:sz w:val="28"/>
          <w:szCs w:val="28"/>
        </w:rPr>
      </w:pPr>
      <w:r>
        <w:rPr>
          <w:rFonts w:ascii="Arial" w:hAnsi="Arial" w:cs="Arial"/>
          <w:b/>
          <w:sz w:val="28"/>
          <w:szCs w:val="28"/>
        </w:rPr>
        <w:t>Carlos Ardila</w:t>
      </w:r>
      <w:r w:rsidRPr="00CC4737">
        <w:rPr>
          <w:rFonts w:ascii="Arial" w:hAnsi="Arial" w:cs="Arial"/>
          <w:b/>
          <w:sz w:val="28"/>
          <w:szCs w:val="28"/>
        </w:rPr>
        <w:t xml:space="preserve">       </w:t>
      </w:r>
      <w:r>
        <w:rPr>
          <w:rFonts w:ascii="Arial" w:hAnsi="Arial" w:cs="Arial"/>
          <w:b/>
          <w:sz w:val="28"/>
          <w:szCs w:val="28"/>
        </w:rPr>
        <w:t xml:space="preserve">                                        Abel Jaramillo</w:t>
      </w:r>
      <w:r w:rsidRPr="00CC4737">
        <w:rPr>
          <w:rFonts w:ascii="Arial" w:hAnsi="Arial" w:cs="Arial"/>
          <w:b/>
          <w:sz w:val="28"/>
          <w:szCs w:val="28"/>
        </w:rPr>
        <w:t xml:space="preserve"> </w:t>
      </w:r>
      <w:r>
        <w:rPr>
          <w:rFonts w:ascii="Arial" w:hAnsi="Arial" w:cs="Arial"/>
          <w:sz w:val="28"/>
          <w:szCs w:val="28"/>
        </w:rPr>
        <w:t xml:space="preserve">                                                                           </w:t>
      </w:r>
      <w:r w:rsidRPr="00CC4737">
        <w:rPr>
          <w:rFonts w:ascii="Arial" w:hAnsi="Arial" w:cs="Arial"/>
          <w:sz w:val="28"/>
          <w:szCs w:val="28"/>
        </w:rPr>
        <w:t xml:space="preserve">       </w:t>
      </w:r>
    </w:p>
    <w:p w:rsidR="00A54769" w:rsidRDefault="00CC4737" w:rsidP="0007322C">
      <w:pPr>
        <w:spacing w:after="0"/>
        <w:rPr>
          <w:rFonts w:ascii="Arial" w:hAnsi="Arial" w:cs="Arial"/>
          <w:sz w:val="28"/>
          <w:szCs w:val="28"/>
        </w:rPr>
      </w:pPr>
      <w:r>
        <w:rPr>
          <w:rFonts w:ascii="Arial" w:hAnsi="Arial" w:cs="Arial"/>
          <w:sz w:val="28"/>
          <w:szCs w:val="28"/>
        </w:rPr>
        <w:t>Representante a la Cámara                         Representante a la Cámara</w:t>
      </w:r>
    </w:p>
    <w:p w:rsidR="00CC4737" w:rsidRDefault="00CC4737" w:rsidP="0007322C">
      <w:pPr>
        <w:spacing w:after="0"/>
        <w:rPr>
          <w:rFonts w:ascii="Arial" w:hAnsi="Arial" w:cs="Arial"/>
          <w:sz w:val="28"/>
          <w:szCs w:val="28"/>
        </w:rPr>
      </w:pPr>
      <w:r>
        <w:rPr>
          <w:rFonts w:ascii="Arial" w:hAnsi="Arial" w:cs="Arial"/>
          <w:sz w:val="28"/>
          <w:szCs w:val="28"/>
        </w:rPr>
        <w:t>Partido Liberal</w:t>
      </w:r>
      <w:r w:rsidR="00A251F8">
        <w:rPr>
          <w:rFonts w:ascii="Arial" w:hAnsi="Arial" w:cs="Arial"/>
          <w:sz w:val="28"/>
          <w:szCs w:val="28"/>
        </w:rPr>
        <w:t xml:space="preserve">                                              Mais</w:t>
      </w:r>
    </w:p>
    <w:p w:rsidR="00A251F8" w:rsidRDefault="00A251F8" w:rsidP="0007322C">
      <w:pPr>
        <w:spacing w:after="0"/>
        <w:rPr>
          <w:rFonts w:ascii="Arial" w:hAnsi="Arial" w:cs="Arial"/>
          <w:sz w:val="28"/>
          <w:szCs w:val="28"/>
        </w:rPr>
      </w:pPr>
    </w:p>
    <w:p w:rsidR="00A251F8" w:rsidRDefault="00A251F8" w:rsidP="0007322C">
      <w:pPr>
        <w:spacing w:after="0"/>
        <w:rPr>
          <w:rFonts w:ascii="Arial" w:hAnsi="Arial" w:cs="Arial"/>
          <w:sz w:val="28"/>
          <w:szCs w:val="28"/>
        </w:rPr>
      </w:pPr>
    </w:p>
    <w:p w:rsidR="002A3EAD" w:rsidRDefault="002A3EAD" w:rsidP="0007322C">
      <w:pPr>
        <w:spacing w:after="0"/>
        <w:rPr>
          <w:rFonts w:ascii="Arial" w:hAnsi="Arial" w:cs="Arial"/>
          <w:sz w:val="28"/>
          <w:szCs w:val="28"/>
        </w:rPr>
      </w:pPr>
    </w:p>
    <w:p w:rsidR="002A3EAD" w:rsidRDefault="002A3EAD" w:rsidP="0007322C">
      <w:pPr>
        <w:spacing w:after="0"/>
        <w:rPr>
          <w:rFonts w:ascii="Arial" w:hAnsi="Arial" w:cs="Arial"/>
          <w:sz w:val="28"/>
          <w:szCs w:val="28"/>
        </w:rPr>
      </w:pPr>
    </w:p>
    <w:p w:rsidR="002A3EAD" w:rsidRDefault="002A3EAD" w:rsidP="0007322C">
      <w:pPr>
        <w:spacing w:after="0"/>
        <w:rPr>
          <w:rFonts w:ascii="Arial" w:hAnsi="Arial" w:cs="Arial"/>
          <w:sz w:val="28"/>
          <w:szCs w:val="28"/>
        </w:rPr>
      </w:pPr>
    </w:p>
    <w:p w:rsidR="00A251F8" w:rsidRDefault="00A251F8" w:rsidP="0007322C">
      <w:pPr>
        <w:spacing w:after="0"/>
        <w:rPr>
          <w:rFonts w:ascii="Arial" w:hAnsi="Arial" w:cs="Arial"/>
          <w:sz w:val="28"/>
          <w:szCs w:val="28"/>
        </w:rPr>
      </w:pPr>
    </w:p>
    <w:p w:rsidR="00A251F8" w:rsidRPr="00A251F8" w:rsidRDefault="00A251F8" w:rsidP="0007322C">
      <w:pPr>
        <w:spacing w:after="0"/>
        <w:rPr>
          <w:rFonts w:ascii="Arial" w:hAnsi="Arial" w:cs="Arial"/>
          <w:b/>
          <w:sz w:val="28"/>
          <w:szCs w:val="28"/>
        </w:rPr>
      </w:pPr>
      <w:r w:rsidRPr="00A251F8">
        <w:rPr>
          <w:rFonts w:ascii="Arial" w:hAnsi="Arial" w:cs="Arial"/>
          <w:b/>
          <w:sz w:val="28"/>
          <w:szCs w:val="28"/>
        </w:rPr>
        <w:t>Hernán Banguero</w:t>
      </w:r>
      <w:r>
        <w:rPr>
          <w:rFonts w:ascii="Arial" w:hAnsi="Arial" w:cs="Arial"/>
          <w:b/>
          <w:sz w:val="28"/>
          <w:szCs w:val="28"/>
        </w:rPr>
        <w:t xml:space="preserve">                                       Carlos Carreño</w:t>
      </w:r>
    </w:p>
    <w:p w:rsidR="00A251F8" w:rsidRDefault="00A251F8" w:rsidP="0007322C">
      <w:pPr>
        <w:spacing w:after="0"/>
        <w:rPr>
          <w:rFonts w:ascii="Arial" w:hAnsi="Arial" w:cs="Arial"/>
          <w:sz w:val="28"/>
          <w:szCs w:val="28"/>
        </w:rPr>
      </w:pPr>
      <w:r>
        <w:rPr>
          <w:rFonts w:ascii="Arial" w:hAnsi="Arial" w:cs="Arial"/>
          <w:sz w:val="28"/>
          <w:szCs w:val="28"/>
        </w:rPr>
        <w:t>Representante a la Cámara                         Representante a la Cámara</w:t>
      </w:r>
    </w:p>
    <w:p w:rsidR="00A251F8" w:rsidRDefault="00A251F8" w:rsidP="0007322C">
      <w:pPr>
        <w:spacing w:after="0"/>
        <w:rPr>
          <w:rFonts w:ascii="Arial" w:hAnsi="Arial" w:cs="Arial"/>
          <w:sz w:val="28"/>
          <w:szCs w:val="28"/>
        </w:rPr>
      </w:pPr>
      <w:r>
        <w:rPr>
          <w:rFonts w:ascii="Arial" w:hAnsi="Arial" w:cs="Arial"/>
          <w:sz w:val="28"/>
          <w:szCs w:val="28"/>
        </w:rPr>
        <w:t>Consejo Comunitario la Mamuncia              FARC</w:t>
      </w:r>
    </w:p>
    <w:p w:rsidR="00A251F8" w:rsidRDefault="00A251F8" w:rsidP="0007322C">
      <w:pPr>
        <w:spacing w:after="0"/>
        <w:rPr>
          <w:rFonts w:ascii="Arial" w:hAnsi="Arial" w:cs="Arial"/>
          <w:sz w:val="28"/>
          <w:szCs w:val="28"/>
        </w:rPr>
      </w:pPr>
    </w:p>
    <w:p w:rsidR="00A251F8" w:rsidRDefault="00A251F8" w:rsidP="0007322C">
      <w:pPr>
        <w:spacing w:after="0"/>
        <w:rPr>
          <w:rFonts w:ascii="Arial" w:hAnsi="Arial" w:cs="Arial"/>
          <w:sz w:val="28"/>
          <w:szCs w:val="28"/>
        </w:rPr>
      </w:pPr>
    </w:p>
    <w:p w:rsidR="00A251F8" w:rsidRDefault="00A251F8" w:rsidP="0007322C">
      <w:pPr>
        <w:spacing w:after="0"/>
        <w:rPr>
          <w:rFonts w:ascii="Arial" w:hAnsi="Arial" w:cs="Arial"/>
          <w:sz w:val="28"/>
          <w:szCs w:val="28"/>
        </w:rPr>
      </w:pPr>
    </w:p>
    <w:p w:rsidR="00A251F8" w:rsidRDefault="00A251F8" w:rsidP="0007322C">
      <w:pPr>
        <w:spacing w:after="0"/>
        <w:rPr>
          <w:rFonts w:ascii="Arial" w:hAnsi="Arial" w:cs="Arial"/>
          <w:sz w:val="28"/>
          <w:szCs w:val="28"/>
        </w:rPr>
      </w:pPr>
    </w:p>
    <w:p w:rsidR="00A251F8" w:rsidRDefault="00A251F8" w:rsidP="0007322C">
      <w:pPr>
        <w:spacing w:after="0"/>
        <w:rPr>
          <w:rFonts w:ascii="Arial" w:hAnsi="Arial" w:cs="Arial"/>
          <w:b/>
          <w:sz w:val="28"/>
          <w:szCs w:val="28"/>
        </w:rPr>
      </w:pPr>
    </w:p>
    <w:p w:rsidR="00A251F8" w:rsidRPr="00A251F8" w:rsidRDefault="00A251F8" w:rsidP="0007322C">
      <w:pPr>
        <w:spacing w:after="0"/>
        <w:rPr>
          <w:rFonts w:ascii="Arial" w:hAnsi="Arial" w:cs="Arial"/>
          <w:b/>
          <w:sz w:val="28"/>
          <w:szCs w:val="28"/>
        </w:rPr>
      </w:pPr>
      <w:r w:rsidRPr="00A251F8">
        <w:rPr>
          <w:rFonts w:ascii="Arial" w:hAnsi="Arial" w:cs="Arial"/>
          <w:b/>
          <w:sz w:val="28"/>
          <w:szCs w:val="28"/>
        </w:rPr>
        <w:t xml:space="preserve">Luis Albán </w:t>
      </w:r>
      <w:r w:rsidR="00144B4E">
        <w:rPr>
          <w:rFonts w:ascii="Arial" w:hAnsi="Arial" w:cs="Arial"/>
          <w:b/>
          <w:sz w:val="28"/>
          <w:szCs w:val="28"/>
        </w:rPr>
        <w:tab/>
      </w:r>
      <w:r w:rsidR="00144B4E">
        <w:rPr>
          <w:rFonts w:ascii="Arial" w:hAnsi="Arial" w:cs="Arial"/>
          <w:b/>
          <w:sz w:val="28"/>
          <w:szCs w:val="28"/>
        </w:rPr>
        <w:tab/>
      </w:r>
      <w:r w:rsidR="00144B4E">
        <w:rPr>
          <w:rFonts w:ascii="Arial" w:hAnsi="Arial" w:cs="Arial"/>
          <w:b/>
          <w:sz w:val="28"/>
          <w:szCs w:val="28"/>
        </w:rPr>
        <w:tab/>
      </w:r>
      <w:r w:rsidR="00144B4E">
        <w:rPr>
          <w:rFonts w:ascii="Arial" w:hAnsi="Arial" w:cs="Arial"/>
          <w:b/>
          <w:sz w:val="28"/>
          <w:szCs w:val="28"/>
        </w:rPr>
        <w:tab/>
      </w:r>
      <w:r w:rsidR="00144B4E">
        <w:rPr>
          <w:rFonts w:ascii="Arial" w:hAnsi="Arial" w:cs="Arial"/>
          <w:b/>
          <w:sz w:val="28"/>
          <w:szCs w:val="28"/>
        </w:rPr>
        <w:tab/>
        <w:t xml:space="preserve">    David Racero Mayorca</w:t>
      </w:r>
    </w:p>
    <w:p w:rsidR="00144B4E" w:rsidRDefault="00A251F8" w:rsidP="0007322C">
      <w:pPr>
        <w:spacing w:after="0"/>
        <w:rPr>
          <w:rFonts w:ascii="Arial" w:hAnsi="Arial" w:cs="Arial"/>
          <w:sz w:val="28"/>
          <w:szCs w:val="28"/>
        </w:rPr>
      </w:pPr>
      <w:r>
        <w:rPr>
          <w:rFonts w:ascii="Arial" w:hAnsi="Arial" w:cs="Arial"/>
          <w:sz w:val="28"/>
          <w:szCs w:val="28"/>
        </w:rPr>
        <w:t>Representante a la Cámara</w:t>
      </w:r>
      <w:r w:rsidR="00144B4E">
        <w:rPr>
          <w:rFonts w:ascii="Arial" w:hAnsi="Arial" w:cs="Arial"/>
          <w:sz w:val="28"/>
          <w:szCs w:val="28"/>
        </w:rPr>
        <w:t xml:space="preserve">                       Representante a la Cámara</w:t>
      </w:r>
    </w:p>
    <w:p w:rsidR="00A251F8" w:rsidRDefault="00A251F8" w:rsidP="0007322C">
      <w:pPr>
        <w:spacing w:after="0"/>
        <w:rPr>
          <w:rFonts w:ascii="Arial" w:hAnsi="Arial" w:cs="Arial"/>
          <w:sz w:val="28"/>
          <w:szCs w:val="28"/>
        </w:rPr>
      </w:pPr>
      <w:r>
        <w:rPr>
          <w:rFonts w:ascii="Arial" w:hAnsi="Arial" w:cs="Arial"/>
          <w:sz w:val="28"/>
          <w:szCs w:val="28"/>
        </w:rPr>
        <w:t>FARC</w:t>
      </w:r>
      <w:r w:rsidR="00144B4E">
        <w:rPr>
          <w:rFonts w:ascii="Arial" w:hAnsi="Arial" w:cs="Arial"/>
          <w:sz w:val="28"/>
          <w:szCs w:val="28"/>
        </w:rPr>
        <w:tab/>
      </w:r>
      <w:r w:rsidR="00144B4E">
        <w:rPr>
          <w:rFonts w:ascii="Arial" w:hAnsi="Arial" w:cs="Arial"/>
          <w:sz w:val="28"/>
          <w:szCs w:val="28"/>
        </w:rPr>
        <w:tab/>
      </w:r>
      <w:r w:rsidR="00144B4E">
        <w:rPr>
          <w:rFonts w:ascii="Arial" w:hAnsi="Arial" w:cs="Arial"/>
          <w:sz w:val="28"/>
          <w:szCs w:val="28"/>
        </w:rPr>
        <w:tab/>
      </w:r>
      <w:r w:rsidR="00144B4E">
        <w:rPr>
          <w:rFonts w:ascii="Arial" w:hAnsi="Arial" w:cs="Arial"/>
          <w:sz w:val="28"/>
          <w:szCs w:val="28"/>
        </w:rPr>
        <w:tab/>
      </w:r>
      <w:r w:rsidR="00144B4E">
        <w:rPr>
          <w:rFonts w:ascii="Arial" w:hAnsi="Arial" w:cs="Arial"/>
          <w:sz w:val="28"/>
          <w:szCs w:val="28"/>
        </w:rPr>
        <w:tab/>
      </w:r>
      <w:r w:rsidR="00144B4E">
        <w:rPr>
          <w:rFonts w:ascii="Arial" w:hAnsi="Arial" w:cs="Arial"/>
          <w:sz w:val="28"/>
          <w:szCs w:val="28"/>
        </w:rPr>
        <w:tab/>
        <w:t xml:space="preserve">    Coalición Decentes                                      </w:t>
      </w:r>
    </w:p>
    <w:p w:rsidR="00144B4E" w:rsidRDefault="00144B4E" w:rsidP="00144B4E">
      <w:pPr>
        <w:spacing w:after="0"/>
        <w:rPr>
          <w:rFonts w:ascii="Arial" w:hAnsi="Arial" w:cs="Arial"/>
          <w:b/>
          <w:sz w:val="28"/>
          <w:szCs w:val="28"/>
        </w:rPr>
      </w:pPr>
    </w:p>
    <w:p w:rsidR="00CC4737" w:rsidRDefault="00CC4737" w:rsidP="0007322C">
      <w:pPr>
        <w:spacing w:after="0"/>
        <w:rPr>
          <w:rFonts w:ascii="Arial" w:hAnsi="Arial" w:cs="Arial"/>
          <w:sz w:val="28"/>
          <w:szCs w:val="28"/>
        </w:rPr>
      </w:pPr>
    </w:p>
    <w:p w:rsidR="00A54769" w:rsidRDefault="00A54769" w:rsidP="0007322C">
      <w:pPr>
        <w:spacing w:after="0"/>
        <w:rPr>
          <w:rFonts w:ascii="Arial" w:hAnsi="Arial" w:cs="Arial"/>
          <w:sz w:val="28"/>
          <w:szCs w:val="28"/>
        </w:rPr>
      </w:pPr>
    </w:p>
    <w:p w:rsidR="00A54769" w:rsidRDefault="00A54769" w:rsidP="0007322C">
      <w:pPr>
        <w:spacing w:after="0"/>
        <w:rPr>
          <w:rFonts w:ascii="Arial" w:hAnsi="Arial" w:cs="Arial"/>
          <w:sz w:val="28"/>
          <w:szCs w:val="28"/>
        </w:rPr>
      </w:pPr>
    </w:p>
    <w:p w:rsidR="005114D9" w:rsidRDefault="005114D9" w:rsidP="0007322C">
      <w:pPr>
        <w:spacing w:after="0"/>
        <w:rPr>
          <w:rFonts w:ascii="Arial" w:hAnsi="Arial" w:cs="Arial"/>
          <w:sz w:val="28"/>
          <w:szCs w:val="28"/>
        </w:rPr>
      </w:pPr>
    </w:p>
    <w:p w:rsidR="005114D9" w:rsidRDefault="005114D9" w:rsidP="0007322C">
      <w:pPr>
        <w:spacing w:after="0"/>
        <w:rPr>
          <w:rFonts w:ascii="Arial" w:hAnsi="Arial" w:cs="Arial"/>
          <w:sz w:val="28"/>
          <w:szCs w:val="28"/>
        </w:rPr>
      </w:pPr>
    </w:p>
    <w:p w:rsidR="004B04E6" w:rsidRDefault="004B04E6">
      <w:r>
        <w:br w:type="page"/>
      </w:r>
    </w:p>
    <w:p w:rsidR="004B04E6" w:rsidRPr="00343E0F" w:rsidRDefault="004B04E6" w:rsidP="004B04E6">
      <w:pPr>
        <w:tabs>
          <w:tab w:val="left" w:pos="6162"/>
        </w:tabs>
        <w:suppressAutoHyphens/>
        <w:adjustRightInd w:val="0"/>
        <w:spacing w:after="0" w:line="240" w:lineRule="auto"/>
        <w:textAlignment w:val="center"/>
        <w:rPr>
          <w:rFonts w:ascii="Arial Narrow" w:eastAsia="Times New Roman" w:hAnsi="Arial Narrow" w:cs="Arial"/>
          <w:sz w:val="24"/>
          <w:szCs w:val="24"/>
          <w:lang w:val="es-ES_tradnl" w:eastAsia="es-CO"/>
        </w:rPr>
      </w:pPr>
      <w:r w:rsidRPr="00343E0F">
        <w:rPr>
          <w:rFonts w:ascii="Arial Narrow" w:eastAsia="Times New Roman" w:hAnsi="Arial Narrow" w:cs="Arial"/>
          <w:sz w:val="24"/>
          <w:szCs w:val="24"/>
          <w:lang w:val="es-ES_tradnl" w:eastAsia="es-CO"/>
        </w:rPr>
        <w:t>PROYECTO DE ACTO LEGISLATIVO NÚME</w:t>
      </w:r>
      <w:r>
        <w:rPr>
          <w:rFonts w:ascii="Arial Narrow" w:eastAsia="Times New Roman" w:hAnsi="Arial Narrow" w:cs="Arial"/>
          <w:sz w:val="24"/>
          <w:szCs w:val="24"/>
          <w:lang w:val="es-ES_tradnl" w:eastAsia="es-CO"/>
        </w:rPr>
        <w:t>RO______________________ DE 2019</w:t>
      </w:r>
      <w:r w:rsidRPr="00343E0F">
        <w:rPr>
          <w:rFonts w:ascii="Arial Narrow" w:eastAsia="Times New Roman" w:hAnsi="Arial Narrow" w:cs="Arial"/>
          <w:sz w:val="24"/>
          <w:szCs w:val="24"/>
          <w:lang w:val="es-ES_tradnl" w:eastAsia="es-CO"/>
        </w:rPr>
        <w:t xml:space="preserve"> CÁMARA</w:t>
      </w:r>
    </w:p>
    <w:p w:rsidR="004B04E6" w:rsidRPr="00343E0F" w:rsidRDefault="004B04E6" w:rsidP="004B0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textAlignment w:val="center"/>
        <w:rPr>
          <w:rFonts w:ascii="Arial Narrow" w:eastAsia="Times New Roman" w:hAnsi="Arial Narrow" w:cs="Arial"/>
          <w:i/>
          <w:iCs/>
          <w:sz w:val="24"/>
          <w:szCs w:val="24"/>
          <w:lang w:val="es-ES_tradnl" w:eastAsia="es-CO"/>
        </w:rPr>
      </w:pPr>
      <w:r w:rsidRPr="00343E0F">
        <w:rPr>
          <w:rFonts w:ascii="Arial Narrow" w:eastAsia="Times New Roman" w:hAnsi="Arial Narrow" w:cs="Arial"/>
          <w:i/>
          <w:iCs/>
          <w:sz w:val="24"/>
          <w:szCs w:val="24"/>
          <w:lang w:val="es-ES_tradnl" w:eastAsia="es-CO"/>
        </w:rPr>
        <w:t>Por el cual se modifica el artículo 361 de la Constitución Política y se dictan otras disposiciones sobre el Régimen de Regalías y Compensaciones.</w:t>
      </w:r>
    </w:p>
    <w:p w:rsidR="004B04E6" w:rsidRPr="00343E0F" w:rsidRDefault="004B04E6" w:rsidP="004B0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adjustRightInd w:val="0"/>
        <w:spacing w:after="0" w:line="240" w:lineRule="auto"/>
        <w:jc w:val="center"/>
        <w:textAlignment w:val="center"/>
        <w:rPr>
          <w:rFonts w:ascii="Arial Narrow" w:eastAsia="Times New Roman" w:hAnsi="Arial Narrow" w:cs="Arial"/>
          <w:sz w:val="24"/>
          <w:szCs w:val="24"/>
          <w:lang w:val="es-ES_tradnl" w:eastAsia="es-CO"/>
        </w:rPr>
      </w:pPr>
      <w:r w:rsidRPr="00343E0F">
        <w:rPr>
          <w:rFonts w:ascii="Arial Narrow" w:eastAsia="Times New Roman" w:hAnsi="Arial Narrow" w:cs="Arial"/>
          <w:sz w:val="24"/>
          <w:szCs w:val="24"/>
          <w:lang w:val="es-ES_tradnl" w:eastAsia="es-CO"/>
        </w:rPr>
        <w:t xml:space="preserve">El Congreso de Colombia </w:t>
      </w:r>
    </w:p>
    <w:p w:rsidR="004B04E6" w:rsidRDefault="004B04E6" w:rsidP="004B04E6">
      <w:pPr>
        <w:adjustRightInd w:val="0"/>
        <w:spacing w:after="0" w:line="240" w:lineRule="auto"/>
        <w:jc w:val="center"/>
        <w:textAlignment w:val="center"/>
        <w:rPr>
          <w:rFonts w:ascii="Arial Narrow" w:hAnsi="Arial Narrow"/>
          <w:iCs/>
          <w:sz w:val="24"/>
          <w:szCs w:val="24"/>
        </w:rPr>
      </w:pPr>
      <w:r w:rsidRPr="001B4B14">
        <w:rPr>
          <w:rFonts w:ascii="Arial Narrow" w:hAnsi="Arial Narrow"/>
          <w:iCs/>
          <w:sz w:val="24"/>
          <w:szCs w:val="24"/>
        </w:rPr>
        <w:t>EXPOSICION DE MOTIVOS</w:t>
      </w:r>
    </w:p>
    <w:p w:rsidR="004B04E6" w:rsidRPr="001B4B14" w:rsidRDefault="004B04E6" w:rsidP="004B04E6">
      <w:pPr>
        <w:adjustRightInd w:val="0"/>
        <w:spacing w:after="0" w:line="240" w:lineRule="auto"/>
        <w:jc w:val="center"/>
        <w:textAlignment w:val="center"/>
        <w:rPr>
          <w:rFonts w:ascii="Arial Narrow" w:hAnsi="Arial Narrow"/>
          <w:iCs/>
          <w:sz w:val="24"/>
          <w:szCs w:val="24"/>
        </w:rPr>
      </w:pPr>
    </w:p>
    <w:p w:rsidR="004B04E6" w:rsidRPr="00A17C80" w:rsidRDefault="004B04E6" w:rsidP="004B04E6">
      <w:pPr>
        <w:adjustRightInd w:val="0"/>
        <w:spacing w:after="0" w:line="240" w:lineRule="auto"/>
        <w:jc w:val="both"/>
        <w:textAlignment w:val="center"/>
        <w:rPr>
          <w:rFonts w:ascii="Arial Narrow" w:hAnsi="Arial Narrow"/>
          <w:b/>
          <w:iCs/>
          <w:sz w:val="24"/>
          <w:szCs w:val="24"/>
        </w:rPr>
      </w:pPr>
      <w:r>
        <w:rPr>
          <w:rFonts w:ascii="Arial Narrow" w:hAnsi="Arial Narrow"/>
          <w:b/>
          <w:iCs/>
          <w:sz w:val="24"/>
          <w:szCs w:val="24"/>
        </w:rPr>
        <w:t xml:space="preserve">I-.  </w:t>
      </w:r>
      <w:r w:rsidRPr="00A17C80">
        <w:rPr>
          <w:rFonts w:ascii="Arial Narrow" w:hAnsi="Arial Narrow"/>
          <w:b/>
          <w:iCs/>
          <w:sz w:val="24"/>
          <w:szCs w:val="24"/>
        </w:rPr>
        <w:t>Antecedentes</w:t>
      </w:r>
    </w:p>
    <w:p w:rsidR="004B04E6" w:rsidRDefault="004B04E6" w:rsidP="004B04E6">
      <w:pPr>
        <w:adjustRightInd w:val="0"/>
        <w:spacing w:after="0" w:line="240" w:lineRule="auto"/>
        <w:jc w:val="both"/>
        <w:textAlignment w:val="center"/>
        <w:rPr>
          <w:rFonts w:ascii="Arial Narrow" w:hAnsi="Arial Narrow"/>
          <w:b/>
          <w:iCs/>
          <w:sz w:val="24"/>
          <w:szCs w:val="24"/>
        </w:rPr>
      </w:pPr>
    </w:p>
    <w:p w:rsidR="004B04E6" w:rsidRDefault="004B04E6" w:rsidP="004B04E6">
      <w:pPr>
        <w:adjustRightInd w:val="0"/>
        <w:spacing w:after="0" w:line="240" w:lineRule="auto"/>
        <w:jc w:val="both"/>
        <w:textAlignment w:val="center"/>
        <w:rPr>
          <w:rFonts w:ascii="Arial Narrow" w:hAnsi="Arial Narrow"/>
          <w:iCs/>
          <w:sz w:val="24"/>
          <w:szCs w:val="24"/>
        </w:rPr>
      </w:pPr>
      <w:r>
        <w:rPr>
          <w:rFonts w:ascii="Arial Narrow" w:hAnsi="Arial Narrow"/>
          <w:iCs/>
          <w:sz w:val="24"/>
          <w:szCs w:val="24"/>
        </w:rPr>
        <w:t>Desde la expedición de la Ley 20 de 1969, las regalías representaban el 20% del contrato de explotación y su distribución correspondida el 60% para los departamentos y municipios productores y el 40% para la nación. Posteriormente la constitución de 1991 creó el Fondo Nacional de Regalías y los municipios portuarios fluviales y marítimos, que reemplazaron a la nación como beneficiario del 40% de las regalías, mandato constitucional que fue reglamentado por la Ley 141 de 1994, la que mantuvo la distribución del 60% de las regalías para los entes productores y el otro 40% se distribuyó, un 32% para el Fondo Nacional de Regalías y un 8% para los municipios portuarios. Luego con la expedición de la Ley 756</w:t>
      </w:r>
      <w:r>
        <w:rPr>
          <w:rFonts w:ascii="Arial Narrow" w:hAnsi="Arial Narrow"/>
          <w:iCs/>
          <w:strike/>
          <w:sz w:val="24"/>
          <w:szCs w:val="24"/>
        </w:rPr>
        <w:t xml:space="preserve"> </w:t>
      </w:r>
      <w:r>
        <w:rPr>
          <w:rFonts w:ascii="Arial Narrow" w:hAnsi="Arial Narrow"/>
          <w:iCs/>
          <w:sz w:val="24"/>
          <w:szCs w:val="24"/>
        </w:rPr>
        <w:t>del 2002, se reduce el porcentaje de las regalías de un 20% a un 7% con crecimiento escalonado de acuerdo al volumen de producción del campo,</w:t>
      </w:r>
      <w:r w:rsidRPr="004726E2">
        <w:rPr>
          <w:rFonts w:ascii="Arial Narrow" w:hAnsi="Arial Narrow"/>
          <w:iCs/>
          <w:sz w:val="24"/>
          <w:szCs w:val="24"/>
        </w:rPr>
        <w:t xml:space="preserve"> </w:t>
      </w:r>
      <w:r>
        <w:rPr>
          <w:rFonts w:ascii="Arial Narrow" w:hAnsi="Arial Narrow"/>
          <w:iCs/>
          <w:sz w:val="24"/>
          <w:szCs w:val="24"/>
        </w:rPr>
        <w:t xml:space="preserve">para los nuevos contratos de exploración y explotación, y que hasta la fecha de hoy en su gran mayoría corresponden al 7%. Finalmente, se expidió el Decreto Ley No. 1760 del 2003 por medio del cual se derogo el contrato de asociación y se implementó el contrato de concesión moderna, con las regalías escalonadas del 7%, porcentaje que corresponden a la mayoría de las regalías liquidadas hoy. Estas regalías escalonadas mantuvieron la distribución del 60% para los entes productores, el 32% para el Fondo Nacional de Regalías y el 8% para municipios portuarios. </w:t>
      </w:r>
    </w:p>
    <w:p w:rsidR="004B04E6" w:rsidRDefault="004B04E6" w:rsidP="004B04E6">
      <w:pPr>
        <w:adjustRightInd w:val="0"/>
        <w:spacing w:after="0" w:line="240" w:lineRule="auto"/>
        <w:jc w:val="both"/>
        <w:textAlignment w:val="center"/>
        <w:rPr>
          <w:rFonts w:ascii="Arial Narrow" w:hAnsi="Arial Narrow"/>
          <w:iCs/>
          <w:sz w:val="24"/>
          <w:szCs w:val="24"/>
        </w:rPr>
      </w:pPr>
    </w:p>
    <w:p w:rsidR="004B04E6" w:rsidRDefault="004B04E6" w:rsidP="004B04E6">
      <w:pPr>
        <w:adjustRightInd w:val="0"/>
        <w:spacing w:after="0" w:line="240" w:lineRule="auto"/>
        <w:jc w:val="both"/>
        <w:textAlignment w:val="center"/>
        <w:rPr>
          <w:rFonts w:ascii="Arial Narrow" w:hAnsi="Arial Narrow"/>
          <w:iCs/>
          <w:sz w:val="24"/>
          <w:szCs w:val="24"/>
        </w:rPr>
      </w:pPr>
      <w:r>
        <w:rPr>
          <w:rFonts w:ascii="Arial Narrow" w:hAnsi="Arial Narrow"/>
          <w:iCs/>
          <w:sz w:val="24"/>
          <w:szCs w:val="24"/>
        </w:rPr>
        <w:t>Con la expedición del acto legislativo 05 del 2011 y su Ley reglamentaria No. 1530 del 2012, las regalías directas o asignaciones directas que incluyen a los entes productores y municipios portuarios, se redujo dramáticamente en un 90%, con lo cual genero unos efectos negativos, supremamente graves en los entes territoriales productores, al disminuirse a su mínima expresión los recursos para solucionar los enormes problemas sociales, ambientales, carestía al costo de vida y la recesión económica. Hoy esos territorios productores están sumidos en una grave crisis que ha llevado al enfrentamiento entre las comunidades y las compañías explotadoras junto con sus contratistas, muchos de los cuales han termino en grandes paros comunales que impiden la realización de exploración y explotación de petróleo, actividad que reporta más del 80% al Sistema General de Regalías.</w:t>
      </w:r>
    </w:p>
    <w:p w:rsidR="004B04E6" w:rsidRDefault="004B04E6" w:rsidP="004B04E6">
      <w:pPr>
        <w:adjustRightInd w:val="0"/>
        <w:spacing w:after="0" w:line="240" w:lineRule="auto"/>
        <w:jc w:val="both"/>
        <w:textAlignment w:val="center"/>
        <w:rPr>
          <w:rFonts w:ascii="Arial Narrow" w:hAnsi="Arial Narrow"/>
          <w:iCs/>
          <w:sz w:val="24"/>
          <w:szCs w:val="24"/>
        </w:rPr>
      </w:pPr>
    </w:p>
    <w:p w:rsidR="004B04E6" w:rsidRDefault="004B04E6" w:rsidP="004B04E6">
      <w:pPr>
        <w:adjustRightInd w:val="0"/>
        <w:spacing w:after="0" w:line="240" w:lineRule="auto"/>
        <w:jc w:val="both"/>
        <w:textAlignment w:val="center"/>
        <w:rPr>
          <w:rFonts w:ascii="Arial Narrow" w:hAnsi="Arial Narrow"/>
          <w:iCs/>
          <w:sz w:val="24"/>
          <w:szCs w:val="24"/>
        </w:rPr>
      </w:pPr>
      <w:r>
        <w:rPr>
          <w:rFonts w:ascii="Arial Narrow" w:hAnsi="Arial Narrow"/>
          <w:iCs/>
          <w:sz w:val="24"/>
          <w:szCs w:val="24"/>
        </w:rPr>
        <w:t>Ante la disminución ostensible de las regalías directas en los municipios y departamentos productores, y el aumento de las demandas en servicios públicos por parte de una gran población de colombianos que migraron hacia estos territorios en busca de nuevas oportunidades por la actividad de explotación de recursos naturales no renovables, el conflicto social y ambiental viene creciendo en forma notable e impredecible en sus resultados.</w:t>
      </w:r>
    </w:p>
    <w:p w:rsidR="004B04E6" w:rsidRDefault="004B04E6" w:rsidP="004B04E6">
      <w:pPr>
        <w:adjustRightInd w:val="0"/>
        <w:spacing w:after="0" w:line="240" w:lineRule="auto"/>
        <w:jc w:val="both"/>
        <w:textAlignment w:val="center"/>
        <w:rPr>
          <w:rFonts w:ascii="Arial Narrow" w:hAnsi="Arial Narrow"/>
          <w:iCs/>
          <w:sz w:val="24"/>
          <w:szCs w:val="24"/>
        </w:rPr>
      </w:pPr>
    </w:p>
    <w:p w:rsidR="004B04E6" w:rsidRDefault="004B04E6" w:rsidP="004B04E6">
      <w:pPr>
        <w:adjustRightInd w:val="0"/>
        <w:spacing w:after="0" w:line="240" w:lineRule="auto"/>
        <w:jc w:val="both"/>
        <w:textAlignment w:val="center"/>
        <w:rPr>
          <w:rFonts w:ascii="Arial Narrow" w:hAnsi="Arial Narrow"/>
          <w:iCs/>
          <w:sz w:val="24"/>
          <w:szCs w:val="24"/>
        </w:rPr>
      </w:pPr>
      <w:r>
        <w:rPr>
          <w:rFonts w:ascii="Arial Narrow" w:hAnsi="Arial Narrow"/>
          <w:iCs/>
          <w:sz w:val="24"/>
          <w:szCs w:val="24"/>
        </w:rPr>
        <w:t>Estas circunstancias obligan necesariamente en cumplimiento del principio de equidad, a modificar la distribución de las regalías, regresando a los entes productores y municipios portuarios un mayor porcentaje de las regalías para mitigar en una forma más eficaz los impactos sociales, ambientales y económicos, que ellos únicamente reciben con las actividades de explotación de hidrocarburos y mineras.</w:t>
      </w:r>
    </w:p>
    <w:p w:rsidR="004B04E6" w:rsidRDefault="004B04E6" w:rsidP="004B04E6">
      <w:pPr>
        <w:adjustRightInd w:val="0"/>
        <w:spacing w:after="0" w:line="240" w:lineRule="auto"/>
        <w:jc w:val="both"/>
        <w:textAlignment w:val="center"/>
        <w:rPr>
          <w:rFonts w:ascii="Arial Narrow" w:hAnsi="Arial Narrow"/>
          <w:iCs/>
          <w:sz w:val="24"/>
          <w:szCs w:val="24"/>
        </w:rPr>
      </w:pPr>
    </w:p>
    <w:p w:rsidR="004B04E6" w:rsidRDefault="004B04E6" w:rsidP="004B04E6">
      <w:pPr>
        <w:adjustRightInd w:val="0"/>
        <w:spacing w:after="0" w:line="240" w:lineRule="auto"/>
        <w:jc w:val="both"/>
        <w:textAlignment w:val="center"/>
        <w:rPr>
          <w:rFonts w:ascii="Arial Narrow" w:hAnsi="Arial Narrow"/>
          <w:iCs/>
          <w:sz w:val="24"/>
          <w:szCs w:val="24"/>
        </w:rPr>
      </w:pPr>
      <w:r>
        <w:rPr>
          <w:rFonts w:ascii="Arial Narrow" w:hAnsi="Arial Narrow"/>
          <w:iCs/>
          <w:sz w:val="24"/>
          <w:szCs w:val="24"/>
        </w:rPr>
        <w:t>Conscientes de lo anteriormente expuesto, el presidente de la república, la Cámara de Representantes, la Asociación Colombiana de Petróleo y demás gremios del sector petrolero, Planeación Nacional (PN), Agencia Nacional de Hidrocarburos (ANH) y los entes productores, vienen respaldando e impulsando una reforma a la distribución del Sistema General de Regalías</w:t>
      </w:r>
    </w:p>
    <w:p w:rsidR="004B04E6" w:rsidRDefault="004B04E6" w:rsidP="004B04E6">
      <w:pPr>
        <w:adjustRightInd w:val="0"/>
        <w:spacing w:after="0" w:line="240" w:lineRule="auto"/>
        <w:jc w:val="both"/>
        <w:textAlignment w:val="center"/>
        <w:rPr>
          <w:rFonts w:ascii="Arial Narrow" w:hAnsi="Arial Narrow"/>
          <w:iCs/>
          <w:sz w:val="24"/>
          <w:szCs w:val="24"/>
        </w:rPr>
      </w:pPr>
    </w:p>
    <w:p w:rsidR="004B04E6" w:rsidRDefault="004B04E6" w:rsidP="004B04E6">
      <w:pPr>
        <w:adjustRightInd w:val="0"/>
        <w:spacing w:after="0" w:line="240" w:lineRule="auto"/>
        <w:jc w:val="both"/>
        <w:textAlignment w:val="center"/>
        <w:rPr>
          <w:rFonts w:ascii="Arial Narrow" w:hAnsi="Arial Narrow"/>
          <w:iCs/>
          <w:sz w:val="24"/>
          <w:szCs w:val="24"/>
        </w:rPr>
      </w:pPr>
    </w:p>
    <w:p w:rsidR="004B04E6" w:rsidRPr="00A17C80" w:rsidRDefault="004B04E6" w:rsidP="004B04E6">
      <w:pPr>
        <w:adjustRightInd w:val="0"/>
        <w:spacing w:after="0" w:line="240" w:lineRule="auto"/>
        <w:jc w:val="both"/>
        <w:textAlignment w:val="center"/>
        <w:rPr>
          <w:rFonts w:ascii="Arial Narrow" w:hAnsi="Arial Narrow"/>
          <w:b/>
          <w:iCs/>
          <w:sz w:val="24"/>
          <w:szCs w:val="24"/>
        </w:rPr>
      </w:pPr>
      <w:r w:rsidRPr="00A17C80">
        <w:rPr>
          <w:rFonts w:ascii="Arial Narrow" w:hAnsi="Arial Narrow"/>
          <w:b/>
          <w:iCs/>
          <w:sz w:val="24"/>
          <w:szCs w:val="24"/>
        </w:rPr>
        <w:t>ll</w:t>
      </w:r>
      <w:r>
        <w:rPr>
          <w:rFonts w:ascii="Arial Narrow" w:hAnsi="Arial Narrow"/>
          <w:b/>
          <w:iCs/>
          <w:sz w:val="24"/>
          <w:szCs w:val="24"/>
        </w:rPr>
        <w:t xml:space="preserve">-. </w:t>
      </w:r>
      <w:r w:rsidRPr="00A17C80">
        <w:rPr>
          <w:rFonts w:ascii="Arial Narrow" w:hAnsi="Arial Narrow"/>
          <w:b/>
          <w:iCs/>
          <w:sz w:val="24"/>
          <w:szCs w:val="24"/>
        </w:rPr>
        <w:t xml:space="preserve"> SITUACION ACTUAL </w:t>
      </w:r>
    </w:p>
    <w:p w:rsidR="004B04E6" w:rsidRPr="001B4B14" w:rsidRDefault="004B04E6" w:rsidP="004B04E6">
      <w:pPr>
        <w:pStyle w:val="NormalWeb"/>
        <w:spacing w:before="0" w:beforeAutospacing="0" w:after="0" w:afterAutospacing="0"/>
        <w:jc w:val="both"/>
        <w:rPr>
          <w:rFonts w:ascii="Arial Narrow" w:hAnsi="Arial Narrow"/>
        </w:rPr>
      </w:pPr>
    </w:p>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rPr>
        <w:t>En el proyecto de acto Legislativo que dio origen al Acto Legislativo 05 de 2011 radicado por el Ministro de Hacienda doctor JUAN CARLOS ECHEVERRY GARZÓN con su lema institucional “</w:t>
      </w:r>
      <w:r w:rsidRPr="001B4B14">
        <w:rPr>
          <w:rFonts w:ascii="Arial Narrow" w:hAnsi="Arial Narrow" w:cs="Arial Narrow"/>
          <w:b/>
          <w:bCs/>
        </w:rPr>
        <w:t xml:space="preserve">HACIA UN MINISTERIO AGIL, ACERTADO Y CONFIABLE“ </w:t>
      </w:r>
      <w:r w:rsidRPr="001B4B14">
        <w:rPr>
          <w:rFonts w:ascii="Arial Narrow" w:hAnsi="Arial Narrow"/>
        </w:rPr>
        <w:t>y por el Ministro de Minas y Energía doctor CARLOS RODADO NORIEGA, presentan unas proyecciones indicando que en los siguientes 5 a 10 años los niveles de inversión en la actividad minera tendrían un incremento significativo lo que implicaría mayores niveles de producción generando más ingresos para el país sin despojar a las regiones productoras de los recursos.</w:t>
      </w:r>
    </w:p>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rPr>
        <w:t xml:space="preserve"> </w:t>
      </w:r>
    </w:p>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rPr>
        <w:t>En la exposición de motivos, se justifica la creación del SGR en la generación de ahorro con el fin de garantizar contrarrestar los efectos contracíclicos de las bonanzas como lo ocurrido con la cafetera y petrolera en la década del 70 y 90 respectivamente, cuando los precios del petróleo alcanzaron los 150 dólares por barril, se incrementó el gasto, pero no se mantuvo el ahorro.</w:t>
      </w:r>
    </w:p>
    <w:p w:rsidR="004B04E6" w:rsidRPr="001B4B14" w:rsidRDefault="004B04E6" w:rsidP="004B04E6">
      <w:pPr>
        <w:pStyle w:val="NormalWeb"/>
        <w:spacing w:before="0" w:beforeAutospacing="0" w:after="0" w:afterAutospacing="0"/>
        <w:jc w:val="both"/>
        <w:rPr>
          <w:rFonts w:ascii="Arial Narrow" w:hAnsi="Arial Narrow"/>
        </w:rPr>
      </w:pPr>
    </w:p>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rPr>
        <w:t>Según las proyecciones de los ministros mencionados, Colombia seguiría teniendo una BONANZA PETROLERA toda vez que contemplaban nuevos proyectos de generación en gas, energía eléctrica e hidrocarburos, así como la expansión en otros sectores como el de níquel, oro, cobre, polimetálicos, carbón e interconexión eléctrica con otros países con producciones de petróleo que llegarían en 2017 a los 1.400.000 barriles diarios como lo muestra la tabla No 1.</w:t>
      </w:r>
    </w:p>
    <w:p w:rsidR="004B04E6" w:rsidRPr="001B4B14" w:rsidRDefault="004B04E6" w:rsidP="004B04E6">
      <w:pPr>
        <w:pStyle w:val="NormalWeb"/>
        <w:spacing w:before="0" w:beforeAutospacing="0" w:after="0" w:afterAutospacing="0"/>
        <w:jc w:val="both"/>
        <w:rPr>
          <w:rFonts w:ascii="Arial Narrow" w:hAnsi="Arial Narrow"/>
        </w:rPr>
      </w:pPr>
    </w:p>
    <w:p w:rsidR="004B04E6" w:rsidRPr="001B4B14" w:rsidRDefault="004B04E6" w:rsidP="004B04E6">
      <w:pPr>
        <w:pStyle w:val="NormalWeb"/>
        <w:spacing w:before="0" w:beforeAutospacing="0" w:after="0" w:afterAutospacing="0"/>
        <w:jc w:val="both"/>
        <w:rPr>
          <w:rFonts w:ascii="Arial Narrow" w:hAnsi="Arial Narrow"/>
          <w:b/>
          <w:sz w:val="22"/>
          <w:szCs w:val="22"/>
        </w:rPr>
      </w:pPr>
      <w:r w:rsidRPr="001B4B14">
        <w:rPr>
          <w:rFonts w:ascii="Arial Narrow" w:hAnsi="Arial Narrow"/>
          <w:b/>
          <w:sz w:val="22"/>
          <w:szCs w:val="22"/>
        </w:rPr>
        <w:t>Tabla No 1. Proyección de Producción Sector Minero-Energético (Proyecto de acto Legislativo 05/2011) Cifras en miles</w:t>
      </w:r>
    </w:p>
    <w:tbl>
      <w:tblPr>
        <w:tblW w:w="5000" w:type="pct"/>
        <w:tblLayout w:type="fixed"/>
        <w:tblCellMar>
          <w:left w:w="70" w:type="dxa"/>
          <w:right w:w="70" w:type="dxa"/>
        </w:tblCellMar>
        <w:tblLook w:val="04A0" w:firstRow="1" w:lastRow="0" w:firstColumn="1" w:lastColumn="0" w:noHBand="0" w:noVBand="1"/>
      </w:tblPr>
      <w:tblGrid>
        <w:gridCol w:w="1887"/>
        <w:gridCol w:w="540"/>
        <w:gridCol w:w="540"/>
        <w:gridCol w:w="540"/>
        <w:gridCol w:w="540"/>
        <w:gridCol w:w="540"/>
        <w:gridCol w:w="540"/>
        <w:gridCol w:w="540"/>
        <w:gridCol w:w="540"/>
        <w:gridCol w:w="539"/>
        <w:gridCol w:w="544"/>
        <w:gridCol w:w="630"/>
        <w:gridCol w:w="447"/>
        <w:gridCol w:w="461"/>
      </w:tblGrid>
      <w:tr w:rsidR="004B04E6" w:rsidRPr="001B4B14" w:rsidTr="00796562">
        <w:trPr>
          <w:trHeight w:val="300"/>
        </w:trPr>
        <w:tc>
          <w:tcPr>
            <w:tcW w:w="1068"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Tipo de Recurso</w:t>
            </w:r>
          </w:p>
        </w:tc>
        <w:tc>
          <w:tcPr>
            <w:tcW w:w="3417" w:type="pct"/>
            <w:gridSpan w:val="11"/>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Años</w:t>
            </w:r>
          </w:p>
        </w:tc>
        <w:tc>
          <w:tcPr>
            <w:tcW w:w="515" w:type="pct"/>
            <w:gridSpan w:val="2"/>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Cambio 2020-2010</w:t>
            </w:r>
          </w:p>
        </w:tc>
      </w:tr>
      <w:tr w:rsidR="004B04E6" w:rsidRPr="001B4B14" w:rsidTr="00796562">
        <w:trPr>
          <w:trHeight w:val="300"/>
        </w:trPr>
        <w:tc>
          <w:tcPr>
            <w:tcW w:w="1068" w:type="pct"/>
            <w:vMerge/>
            <w:tcBorders>
              <w:top w:val="single" w:sz="4" w:space="0" w:color="auto"/>
              <w:left w:val="single" w:sz="4" w:space="0" w:color="auto"/>
              <w:bottom w:val="single" w:sz="4" w:space="0" w:color="auto"/>
              <w:right w:val="single" w:sz="4" w:space="0" w:color="auto"/>
            </w:tcBorders>
            <w:vAlign w:val="center"/>
            <w:hideMark/>
          </w:tcPr>
          <w:p w:rsidR="004B04E6" w:rsidRPr="001B4B14" w:rsidRDefault="004B04E6" w:rsidP="00796562">
            <w:pPr>
              <w:spacing w:after="0" w:line="240" w:lineRule="auto"/>
              <w:rPr>
                <w:rFonts w:ascii="Arial Narrow" w:eastAsia="Times New Roman" w:hAnsi="Arial Narrow" w:cs="Calibri"/>
                <w:b/>
                <w:bCs/>
                <w:sz w:val="18"/>
                <w:szCs w:val="18"/>
                <w:lang w:eastAsia="es-CO"/>
              </w:rPr>
            </w:pP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2010</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2011</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2012</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2013</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2014</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2015</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2016</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2017</w:t>
            </w:r>
          </w:p>
        </w:tc>
        <w:tc>
          <w:tcPr>
            <w:tcW w:w="305"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2018</w:t>
            </w:r>
          </w:p>
        </w:tc>
        <w:tc>
          <w:tcPr>
            <w:tcW w:w="308"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2019</w:t>
            </w:r>
          </w:p>
        </w:tc>
        <w:tc>
          <w:tcPr>
            <w:tcW w:w="357"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2020</w:t>
            </w:r>
          </w:p>
        </w:tc>
        <w:tc>
          <w:tcPr>
            <w:tcW w:w="253"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Can</w:t>
            </w:r>
          </w:p>
        </w:tc>
        <w:tc>
          <w:tcPr>
            <w:tcW w:w="26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w:t>
            </w:r>
          </w:p>
        </w:tc>
      </w:tr>
      <w:tr w:rsidR="004B04E6" w:rsidRPr="001B4B14" w:rsidTr="00796562">
        <w:trPr>
          <w:trHeight w:val="300"/>
        </w:trPr>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Petróleo</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800</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950</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1,050</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1,100</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1,150</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1,250</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1,350</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1,400</w:t>
            </w:r>
          </w:p>
        </w:tc>
        <w:tc>
          <w:tcPr>
            <w:tcW w:w="305"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1,450</w:t>
            </w:r>
          </w:p>
        </w:tc>
        <w:tc>
          <w:tcPr>
            <w:tcW w:w="308"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1,450</w:t>
            </w:r>
          </w:p>
        </w:tc>
        <w:tc>
          <w:tcPr>
            <w:tcW w:w="357"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1,450</w:t>
            </w:r>
          </w:p>
        </w:tc>
        <w:tc>
          <w:tcPr>
            <w:tcW w:w="253"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650</w:t>
            </w:r>
          </w:p>
        </w:tc>
        <w:tc>
          <w:tcPr>
            <w:tcW w:w="26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81%</w:t>
            </w:r>
          </w:p>
        </w:tc>
      </w:tr>
      <w:tr w:rsidR="004B04E6" w:rsidRPr="001B4B14" w:rsidTr="00796562">
        <w:trPr>
          <w:trHeight w:val="300"/>
        </w:trPr>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Gas</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200</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200</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250</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250</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250</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250</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250</w:t>
            </w:r>
          </w:p>
        </w:tc>
        <w:tc>
          <w:tcPr>
            <w:tcW w:w="305"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250</w:t>
            </w:r>
          </w:p>
        </w:tc>
        <w:tc>
          <w:tcPr>
            <w:tcW w:w="308"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250</w:t>
            </w:r>
          </w:p>
        </w:tc>
        <w:tc>
          <w:tcPr>
            <w:tcW w:w="357"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250</w:t>
            </w:r>
          </w:p>
        </w:tc>
        <w:tc>
          <w:tcPr>
            <w:tcW w:w="253"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50</w:t>
            </w:r>
          </w:p>
        </w:tc>
        <w:tc>
          <w:tcPr>
            <w:tcW w:w="26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25%</w:t>
            </w:r>
          </w:p>
        </w:tc>
      </w:tr>
      <w:tr w:rsidR="004B04E6" w:rsidRPr="001B4B14" w:rsidTr="00796562">
        <w:trPr>
          <w:trHeight w:val="300"/>
        </w:trPr>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Subtotal Hidrocarburos</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1,000</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1,150</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1,050</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1,350</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1,400</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1,500</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1,600</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1,650</w:t>
            </w:r>
          </w:p>
        </w:tc>
        <w:tc>
          <w:tcPr>
            <w:tcW w:w="305"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1,700</w:t>
            </w:r>
          </w:p>
        </w:tc>
        <w:tc>
          <w:tcPr>
            <w:tcW w:w="308"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1,700</w:t>
            </w:r>
          </w:p>
        </w:tc>
        <w:tc>
          <w:tcPr>
            <w:tcW w:w="357"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1,700</w:t>
            </w:r>
          </w:p>
        </w:tc>
        <w:tc>
          <w:tcPr>
            <w:tcW w:w="253"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sz w:val="18"/>
                <w:szCs w:val="18"/>
                <w:lang w:eastAsia="es-CO"/>
              </w:rPr>
            </w:pPr>
            <w:r w:rsidRPr="001B4B14">
              <w:rPr>
                <w:rFonts w:ascii="Arial Narrow" w:eastAsia="Times New Roman" w:hAnsi="Arial Narrow" w:cs="Calibri"/>
                <w:b/>
                <w:bCs/>
                <w:sz w:val="18"/>
                <w:szCs w:val="18"/>
                <w:lang w:eastAsia="es-CO"/>
              </w:rPr>
              <w:t>700</w:t>
            </w:r>
          </w:p>
        </w:tc>
        <w:tc>
          <w:tcPr>
            <w:tcW w:w="26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70%</w:t>
            </w:r>
          </w:p>
        </w:tc>
      </w:tr>
      <w:tr w:rsidR="004B04E6" w:rsidRPr="001B4B14" w:rsidTr="00796562">
        <w:trPr>
          <w:trHeight w:val="300"/>
        </w:trPr>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Carbón</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92</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96</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107</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119</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124</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128</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138</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144</w:t>
            </w:r>
          </w:p>
        </w:tc>
        <w:tc>
          <w:tcPr>
            <w:tcW w:w="305"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150</w:t>
            </w:r>
          </w:p>
        </w:tc>
        <w:tc>
          <w:tcPr>
            <w:tcW w:w="308"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152</w:t>
            </w:r>
          </w:p>
        </w:tc>
        <w:tc>
          <w:tcPr>
            <w:tcW w:w="357"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160</w:t>
            </w:r>
          </w:p>
        </w:tc>
        <w:tc>
          <w:tcPr>
            <w:tcW w:w="253"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68</w:t>
            </w:r>
          </w:p>
        </w:tc>
        <w:tc>
          <w:tcPr>
            <w:tcW w:w="26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74%</w:t>
            </w:r>
          </w:p>
        </w:tc>
      </w:tr>
      <w:tr w:rsidR="004B04E6" w:rsidRPr="001B4B14" w:rsidTr="00796562">
        <w:trPr>
          <w:trHeight w:val="300"/>
        </w:trPr>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Níquel</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50</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37</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51</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51</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51</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51</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51</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51</w:t>
            </w:r>
          </w:p>
        </w:tc>
        <w:tc>
          <w:tcPr>
            <w:tcW w:w="305"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51</w:t>
            </w:r>
          </w:p>
        </w:tc>
        <w:tc>
          <w:tcPr>
            <w:tcW w:w="308"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51</w:t>
            </w:r>
          </w:p>
        </w:tc>
        <w:tc>
          <w:tcPr>
            <w:tcW w:w="357"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51</w:t>
            </w:r>
          </w:p>
        </w:tc>
        <w:tc>
          <w:tcPr>
            <w:tcW w:w="253"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1</w:t>
            </w:r>
          </w:p>
        </w:tc>
        <w:tc>
          <w:tcPr>
            <w:tcW w:w="26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2%</w:t>
            </w:r>
          </w:p>
        </w:tc>
      </w:tr>
      <w:tr w:rsidR="004B04E6" w:rsidRPr="001B4B14" w:rsidTr="00796562">
        <w:trPr>
          <w:trHeight w:val="300"/>
        </w:trPr>
        <w:tc>
          <w:tcPr>
            <w:tcW w:w="1068" w:type="pct"/>
            <w:tcBorders>
              <w:top w:val="nil"/>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Oro</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53</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56</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62</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69</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72</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75</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80</w:t>
            </w:r>
          </w:p>
        </w:tc>
        <w:tc>
          <w:tcPr>
            <w:tcW w:w="306"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84</w:t>
            </w:r>
          </w:p>
        </w:tc>
        <w:tc>
          <w:tcPr>
            <w:tcW w:w="305"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87</w:t>
            </w:r>
          </w:p>
        </w:tc>
        <w:tc>
          <w:tcPr>
            <w:tcW w:w="308"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89</w:t>
            </w:r>
          </w:p>
        </w:tc>
        <w:tc>
          <w:tcPr>
            <w:tcW w:w="357"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93</w:t>
            </w:r>
          </w:p>
        </w:tc>
        <w:tc>
          <w:tcPr>
            <w:tcW w:w="253"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40</w:t>
            </w:r>
          </w:p>
        </w:tc>
        <w:tc>
          <w:tcPr>
            <w:tcW w:w="26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18"/>
                <w:szCs w:val="18"/>
                <w:lang w:eastAsia="es-CO"/>
              </w:rPr>
            </w:pPr>
            <w:r w:rsidRPr="001B4B14">
              <w:rPr>
                <w:rFonts w:ascii="Arial Narrow" w:eastAsia="Times New Roman" w:hAnsi="Arial Narrow" w:cs="Calibri"/>
                <w:sz w:val="18"/>
                <w:szCs w:val="18"/>
                <w:lang w:eastAsia="es-CO"/>
              </w:rPr>
              <w:t>75%</w:t>
            </w:r>
          </w:p>
        </w:tc>
      </w:tr>
    </w:tbl>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rPr>
        <w:t>Fuente: Proyecto Acto Legislativo 05/2011</w:t>
      </w:r>
    </w:p>
    <w:p w:rsidR="004B04E6" w:rsidRPr="001B4B14" w:rsidRDefault="004B04E6" w:rsidP="004B04E6">
      <w:pPr>
        <w:pStyle w:val="NormalWeb"/>
        <w:spacing w:before="0" w:beforeAutospacing="0" w:after="0" w:afterAutospacing="0"/>
        <w:jc w:val="both"/>
        <w:rPr>
          <w:rFonts w:ascii="Arial Narrow" w:hAnsi="Arial Narrow"/>
        </w:rPr>
      </w:pPr>
    </w:p>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rPr>
        <w:t>Por su parte, los pronósticos de los precios del crudo indicaron que crecería gradualmente de 77 dólares por barril en 2010 a 90 dólares por barril en 2020 es decir, un incremento de US$13 correspondiente al 17% en 10 años</w:t>
      </w:r>
    </w:p>
    <w:p w:rsidR="004B04E6" w:rsidRPr="001B4B14" w:rsidRDefault="004B04E6" w:rsidP="004B04E6">
      <w:pPr>
        <w:pStyle w:val="NormalWeb"/>
        <w:spacing w:before="0" w:beforeAutospacing="0" w:after="0" w:afterAutospacing="0"/>
        <w:jc w:val="both"/>
        <w:rPr>
          <w:rFonts w:ascii="Arial Narrow" w:hAnsi="Arial Narrow"/>
        </w:rPr>
      </w:pPr>
    </w:p>
    <w:p w:rsidR="004B04E6" w:rsidRPr="001B4B14" w:rsidRDefault="004B04E6" w:rsidP="004B04E6">
      <w:pPr>
        <w:pStyle w:val="NormalWeb"/>
        <w:spacing w:before="0" w:beforeAutospacing="0" w:after="0" w:afterAutospacing="0"/>
        <w:jc w:val="both"/>
        <w:rPr>
          <w:rFonts w:ascii="Arial Narrow" w:hAnsi="Arial Narrow"/>
          <w:b/>
          <w:sz w:val="22"/>
          <w:szCs w:val="22"/>
        </w:rPr>
      </w:pPr>
      <w:r w:rsidRPr="001B4B14">
        <w:rPr>
          <w:rFonts w:ascii="Arial Narrow" w:hAnsi="Arial Narrow"/>
          <w:b/>
          <w:sz w:val="22"/>
          <w:szCs w:val="22"/>
        </w:rPr>
        <w:t>Tabla No 2. Proyección de Precios</w:t>
      </w:r>
    </w:p>
    <w:tbl>
      <w:tblPr>
        <w:tblW w:w="5000" w:type="pct"/>
        <w:tblCellMar>
          <w:left w:w="70" w:type="dxa"/>
          <w:right w:w="70" w:type="dxa"/>
        </w:tblCellMar>
        <w:tblLook w:val="04A0" w:firstRow="1" w:lastRow="0" w:firstColumn="1" w:lastColumn="0" w:noHBand="0" w:noVBand="1"/>
      </w:tblPr>
      <w:tblGrid>
        <w:gridCol w:w="1782"/>
        <w:gridCol w:w="639"/>
        <w:gridCol w:w="639"/>
        <w:gridCol w:w="639"/>
        <w:gridCol w:w="639"/>
        <w:gridCol w:w="639"/>
        <w:gridCol w:w="639"/>
        <w:gridCol w:w="639"/>
        <w:gridCol w:w="639"/>
        <w:gridCol w:w="639"/>
        <w:gridCol w:w="571"/>
        <w:gridCol w:w="724"/>
      </w:tblGrid>
      <w:tr w:rsidR="004B04E6" w:rsidRPr="001B4B14" w:rsidTr="00796562">
        <w:trPr>
          <w:trHeight w:val="300"/>
        </w:trPr>
        <w:tc>
          <w:tcPr>
            <w:tcW w:w="10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Calibri"/>
                <w:b/>
                <w:bCs/>
                <w:sz w:val="21"/>
                <w:szCs w:val="21"/>
                <w:lang w:eastAsia="es-CO"/>
              </w:rPr>
            </w:pPr>
            <w:r w:rsidRPr="001B4B14">
              <w:rPr>
                <w:rFonts w:ascii="Arial Narrow" w:eastAsia="Times New Roman" w:hAnsi="Arial Narrow" w:cs="Calibri"/>
                <w:b/>
                <w:bCs/>
                <w:sz w:val="21"/>
                <w:szCs w:val="21"/>
                <w:lang w:eastAsia="es-CO"/>
              </w:rPr>
              <w:t>Precios</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sz w:val="21"/>
                <w:szCs w:val="21"/>
                <w:lang w:eastAsia="es-CO"/>
              </w:rPr>
            </w:pPr>
            <w:r w:rsidRPr="001B4B14">
              <w:rPr>
                <w:rFonts w:ascii="Arial Narrow" w:eastAsia="Times New Roman" w:hAnsi="Arial Narrow" w:cs="Calibri"/>
                <w:b/>
                <w:bCs/>
                <w:sz w:val="21"/>
                <w:szCs w:val="21"/>
                <w:lang w:eastAsia="es-CO"/>
              </w:rPr>
              <w:t>2010</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sz w:val="21"/>
                <w:szCs w:val="21"/>
                <w:lang w:eastAsia="es-CO"/>
              </w:rPr>
            </w:pPr>
            <w:r w:rsidRPr="001B4B14">
              <w:rPr>
                <w:rFonts w:ascii="Arial Narrow" w:eastAsia="Times New Roman" w:hAnsi="Arial Narrow" w:cs="Calibri"/>
                <w:b/>
                <w:bCs/>
                <w:sz w:val="21"/>
                <w:szCs w:val="21"/>
                <w:lang w:eastAsia="es-CO"/>
              </w:rPr>
              <w:t>2011</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sz w:val="21"/>
                <w:szCs w:val="21"/>
                <w:lang w:eastAsia="es-CO"/>
              </w:rPr>
            </w:pPr>
            <w:r w:rsidRPr="001B4B14">
              <w:rPr>
                <w:rFonts w:ascii="Arial Narrow" w:eastAsia="Times New Roman" w:hAnsi="Arial Narrow" w:cs="Calibri"/>
                <w:b/>
                <w:bCs/>
                <w:sz w:val="21"/>
                <w:szCs w:val="21"/>
                <w:lang w:eastAsia="es-CO"/>
              </w:rPr>
              <w:t>2012</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sz w:val="21"/>
                <w:szCs w:val="21"/>
                <w:lang w:eastAsia="es-CO"/>
              </w:rPr>
            </w:pPr>
            <w:r w:rsidRPr="001B4B14">
              <w:rPr>
                <w:rFonts w:ascii="Arial Narrow" w:eastAsia="Times New Roman" w:hAnsi="Arial Narrow" w:cs="Calibri"/>
                <w:b/>
                <w:bCs/>
                <w:sz w:val="21"/>
                <w:szCs w:val="21"/>
                <w:lang w:eastAsia="es-CO"/>
              </w:rPr>
              <w:t>2013</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sz w:val="21"/>
                <w:szCs w:val="21"/>
                <w:lang w:eastAsia="es-CO"/>
              </w:rPr>
            </w:pPr>
            <w:r w:rsidRPr="001B4B14">
              <w:rPr>
                <w:rFonts w:ascii="Arial Narrow" w:eastAsia="Times New Roman" w:hAnsi="Arial Narrow" w:cs="Calibri"/>
                <w:b/>
                <w:bCs/>
                <w:sz w:val="21"/>
                <w:szCs w:val="21"/>
                <w:lang w:eastAsia="es-CO"/>
              </w:rPr>
              <w:t>2014</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sz w:val="21"/>
                <w:szCs w:val="21"/>
                <w:lang w:eastAsia="es-CO"/>
              </w:rPr>
            </w:pPr>
            <w:r w:rsidRPr="001B4B14">
              <w:rPr>
                <w:rFonts w:ascii="Arial Narrow" w:eastAsia="Times New Roman" w:hAnsi="Arial Narrow" w:cs="Calibri"/>
                <w:b/>
                <w:bCs/>
                <w:sz w:val="21"/>
                <w:szCs w:val="21"/>
                <w:lang w:eastAsia="es-CO"/>
              </w:rPr>
              <w:t>2015</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sz w:val="21"/>
                <w:szCs w:val="21"/>
                <w:lang w:eastAsia="es-CO"/>
              </w:rPr>
            </w:pPr>
            <w:r w:rsidRPr="001B4B14">
              <w:rPr>
                <w:rFonts w:ascii="Arial Narrow" w:eastAsia="Times New Roman" w:hAnsi="Arial Narrow" w:cs="Calibri"/>
                <w:b/>
                <w:bCs/>
                <w:sz w:val="21"/>
                <w:szCs w:val="21"/>
                <w:lang w:eastAsia="es-CO"/>
              </w:rPr>
              <w:t>2016</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sz w:val="21"/>
                <w:szCs w:val="21"/>
                <w:lang w:eastAsia="es-CO"/>
              </w:rPr>
            </w:pPr>
            <w:r w:rsidRPr="001B4B14">
              <w:rPr>
                <w:rFonts w:ascii="Arial Narrow" w:eastAsia="Times New Roman" w:hAnsi="Arial Narrow" w:cs="Calibri"/>
                <w:b/>
                <w:bCs/>
                <w:sz w:val="21"/>
                <w:szCs w:val="21"/>
                <w:lang w:eastAsia="es-CO"/>
              </w:rPr>
              <w:t>2017</w:t>
            </w:r>
          </w:p>
        </w:tc>
        <w:tc>
          <w:tcPr>
            <w:tcW w:w="362"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sz w:val="21"/>
                <w:szCs w:val="21"/>
                <w:lang w:eastAsia="es-CO"/>
              </w:rPr>
            </w:pPr>
            <w:r w:rsidRPr="001B4B14">
              <w:rPr>
                <w:rFonts w:ascii="Arial Narrow" w:eastAsia="Times New Roman" w:hAnsi="Arial Narrow" w:cs="Calibri"/>
                <w:b/>
                <w:bCs/>
                <w:sz w:val="21"/>
                <w:szCs w:val="21"/>
                <w:lang w:eastAsia="es-CO"/>
              </w:rPr>
              <w:t>2018</w:t>
            </w:r>
          </w:p>
        </w:tc>
        <w:tc>
          <w:tcPr>
            <w:tcW w:w="323"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sz w:val="21"/>
                <w:szCs w:val="21"/>
                <w:lang w:eastAsia="es-CO"/>
              </w:rPr>
            </w:pPr>
            <w:r w:rsidRPr="001B4B14">
              <w:rPr>
                <w:rFonts w:ascii="Arial Narrow" w:eastAsia="Times New Roman" w:hAnsi="Arial Narrow" w:cs="Calibri"/>
                <w:b/>
                <w:bCs/>
                <w:sz w:val="21"/>
                <w:szCs w:val="21"/>
                <w:lang w:eastAsia="es-CO"/>
              </w:rPr>
              <w:t>2019</w:t>
            </w:r>
          </w:p>
        </w:tc>
        <w:tc>
          <w:tcPr>
            <w:tcW w:w="410"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sz w:val="21"/>
                <w:szCs w:val="21"/>
                <w:lang w:eastAsia="es-CO"/>
              </w:rPr>
            </w:pPr>
            <w:r w:rsidRPr="001B4B14">
              <w:rPr>
                <w:rFonts w:ascii="Arial Narrow" w:eastAsia="Times New Roman" w:hAnsi="Arial Narrow" w:cs="Calibri"/>
                <w:b/>
                <w:bCs/>
                <w:sz w:val="21"/>
                <w:szCs w:val="21"/>
                <w:lang w:eastAsia="es-CO"/>
              </w:rPr>
              <w:t>2020</w:t>
            </w:r>
          </w:p>
        </w:tc>
      </w:tr>
      <w:tr w:rsidR="004B04E6" w:rsidRPr="001B4B14" w:rsidTr="00796562">
        <w:trPr>
          <w:trHeight w:val="300"/>
        </w:trPr>
        <w:tc>
          <w:tcPr>
            <w:tcW w:w="1009" w:type="pct"/>
            <w:tcBorders>
              <w:top w:val="nil"/>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Crudo (US$/Barril)</w:t>
            </w:r>
          </w:p>
        </w:tc>
        <w:tc>
          <w:tcPr>
            <w:tcW w:w="36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77</w:t>
            </w:r>
          </w:p>
        </w:tc>
        <w:tc>
          <w:tcPr>
            <w:tcW w:w="36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80</w:t>
            </w:r>
          </w:p>
        </w:tc>
        <w:tc>
          <w:tcPr>
            <w:tcW w:w="36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80</w:t>
            </w:r>
          </w:p>
        </w:tc>
        <w:tc>
          <w:tcPr>
            <w:tcW w:w="36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84</w:t>
            </w:r>
          </w:p>
        </w:tc>
        <w:tc>
          <w:tcPr>
            <w:tcW w:w="36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84</w:t>
            </w:r>
          </w:p>
        </w:tc>
        <w:tc>
          <w:tcPr>
            <w:tcW w:w="36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86</w:t>
            </w:r>
          </w:p>
        </w:tc>
        <w:tc>
          <w:tcPr>
            <w:tcW w:w="36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86</w:t>
            </w:r>
          </w:p>
        </w:tc>
        <w:tc>
          <w:tcPr>
            <w:tcW w:w="36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88</w:t>
            </w:r>
          </w:p>
        </w:tc>
        <w:tc>
          <w:tcPr>
            <w:tcW w:w="36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88</w:t>
            </w:r>
          </w:p>
        </w:tc>
        <w:tc>
          <w:tcPr>
            <w:tcW w:w="323"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90</w:t>
            </w:r>
          </w:p>
        </w:tc>
        <w:tc>
          <w:tcPr>
            <w:tcW w:w="410"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90</w:t>
            </w:r>
          </w:p>
        </w:tc>
      </w:tr>
      <w:tr w:rsidR="004B04E6" w:rsidRPr="001B4B14" w:rsidTr="00796562">
        <w:trPr>
          <w:trHeight w:val="300"/>
        </w:trPr>
        <w:tc>
          <w:tcPr>
            <w:tcW w:w="1009" w:type="pct"/>
            <w:tcBorders>
              <w:top w:val="nil"/>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Carbón (US$/Ton)</w:t>
            </w:r>
          </w:p>
        </w:tc>
        <w:tc>
          <w:tcPr>
            <w:tcW w:w="36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83</w:t>
            </w:r>
          </w:p>
        </w:tc>
        <w:tc>
          <w:tcPr>
            <w:tcW w:w="36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81</w:t>
            </w:r>
          </w:p>
        </w:tc>
        <w:tc>
          <w:tcPr>
            <w:tcW w:w="36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82</w:t>
            </w:r>
          </w:p>
        </w:tc>
        <w:tc>
          <w:tcPr>
            <w:tcW w:w="36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82</w:t>
            </w:r>
          </w:p>
        </w:tc>
        <w:tc>
          <w:tcPr>
            <w:tcW w:w="36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83</w:t>
            </w:r>
          </w:p>
        </w:tc>
        <w:tc>
          <w:tcPr>
            <w:tcW w:w="36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83</w:t>
            </w:r>
          </w:p>
        </w:tc>
        <w:tc>
          <w:tcPr>
            <w:tcW w:w="36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83</w:t>
            </w:r>
          </w:p>
        </w:tc>
        <w:tc>
          <w:tcPr>
            <w:tcW w:w="36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83</w:t>
            </w:r>
          </w:p>
        </w:tc>
        <w:tc>
          <w:tcPr>
            <w:tcW w:w="36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83</w:t>
            </w:r>
          </w:p>
        </w:tc>
        <w:tc>
          <w:tcPr>
            <w:tcW w:w="323"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83</w:t>
            </w:r>
          </w:p>
        </w:tc>
        <w:tc>
          <w:tcPr>
            <w:tcW w:w="410"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83</w:t>
            </w:r>
          </w:p>
        </w:tc>
      </w:tr>
      <w:tr w:rsidR="004B04E6" w:rsidRPr="001B4B14" w:rsidTr="00796562">
        <w:trPr>
          <w:trHeight w:val="300"/>
        </w:trPr>
        <w:tc>
          <w:tcPr>
            <w:tcW w:w="1009" w:type="pct"/>
            <w:tcBorders>
              <w:top w:val="nil"/>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Niquel (US$/Lib)</w:t>
            </w:r>
          </w:p>
        </w:tc>
        <w:tc>
          <w:tcPr>
            <w:tcW w:w="36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8</w:t>
            </w:r>
          </w:p>
        </w:tc>
        <w:tc>
          <w:tcPr>
            <w:tcW w:w="36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5</w:t>
            </w:r>
          </w:p>
        </w:tc>
        <w:tc>
          <w:tcPr>
            <w:tcW w:w="36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5</w:t>
            </w:r>
          </w:p>
        </w:tc>
        <w:tc>
          <w:tcPr>
            <w:tcW w:w="36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5</w:t>
            </w:r>
          </w:p>
        </w:tc>
        <w:tc>
          <w:tcPr>
            <w:tcW w:w="36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6</w:t>
            </w:r>
          </w:p>
        </w:tc>
        <w:tc>
          <w:tcPr>
            <w:tcW w:w="36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6</w:t>
            </w:r>
          </w:p>
        </w:tc>
        <w:tc>
          <w:tcPr>
            <w:tcW w:w="36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6</w:t>
            </w:r>
          </w:p>
        </w:tc>
        <w:tc>
          <w:tcPr>
            <w:tcW w:w="36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6</w:t>
            </w:r>
          </w:p>
        </w:tc>
        <w:tc>
          <w:tcPr>
            <w:tcW w:w="36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6</w:t>
            </w:r>
          </w:p>
        </w:tc>
        <w:tc>
          <w:tcPr>
            <w:tcW w:w="323"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6</w:t>
            </w:r>
          </w:p>
        </w:tc>
        <w:tc>
          <w:tcPr>
            <w:tcW w:w="410"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6</w:t>
            </w:r>
          </w:p>
        </w:tc>
      </w:tr>
      <w:tr w:rsidR="004B04E6" w:rsidRPr="001B4B14" w:rsidTr="00796562">
        <w:trPr>
          <w:trHeight w:val="300"/>
        </w:trPr>
        <w:tc>
          <w:tcPr>
            <w:tcW w:w="1009" w:type="pct"/>
            <w:tcBorders>
              <w:top w:val="nil"/>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Orol (US$/Oz)</w:t>
            </w:r>
          </w:p>
        </w:tc>
        <w:tc>
          <w:tcPr>
            <w:tcW w:w="36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1.150</w:t>
            </w:r>
          </w:p>
        </w:tc>
        <w:tc>
          <w:tcPr>
            <w:tcW w:w="36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1.150</w:t>
            </w:r>
          </w:p>
        </w:tc>
        <w:tc>
          <w:tcPr>
            <w:tcW w:w="36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1.200</w:t>
            </w:r>
          </w:p>
        </w:tc>
        <w:tc>
          <w:tcPr>
            <w:tcW w:w="36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1.250</w:t>
            </w:r>
          </w:p>
        </w:tc>
        <w:tc>
          <w:tcPr>
            <w:tcW w:w="36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1.250</w:t>
            </w:r>
          </w:p>
        </w:tc>
        <w:tc>
          <w:tcPr>
            <w:tcW w:w="36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1.250</w:t>
            </w:r>
          </w:p>
        </w:tc>
        <w:tc>
          <w:tcPr>
            <w:tcW w:w="36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1.250</w:t>
            </w:r>
          </w:p>
        </w:tc>
        <w:tc>
          <w:tcPr>
            <w:tcW w:w="36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1.250</w:t>
            </w:r>
          </w:p>
        </w:tc>
        <w:tc>
          <w:tcPr>
            <w:tcW w:w="36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1.250</w:t>
            </w:r>
          </w:p>
        </w:tc>
        <w:tc>
          <w:tcPr>
            <w:tcW w:w="323"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1.250</w:t>
            </w:r>
          </w:p>
        </w:tc>
        <w:tc>
          <w:tcPr>
            <w:tcW w:w="410"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1"/>
                <w:szCs w:val="21"/>
                <w:lang w:eastAsia="es-CO"/>
              </w:rPr>
            </w:pPr>
            <w:r w:rsidRPr="001B4B14">
              <w:rPr>
                <w:rFonts w:ascii="Arial Narrow" w:eastAsia="Times New Roman" w:hAnsi="Arial Narrow" w:cs="Calibri"/>
                <w:sz w:val="21"/>
                <w:szCs w:val="21"/>
                <w:lang w:eastAsia="es-CO"/>
              </w:rPr>
              <w:t>1.250</w:t>
            </w:r>
          </w:p>
        </w:tc>
      </w:tr>
    </w:tbl>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rPr>
        <w:t>Fuente: Proyecto Acto Legislativo 05/2011</w:t>
      </w:r>
    </w:p>
    <w:p w:rsidR="004B04E6" w:rsidRPr="001B4B14" w:rsidRDefault="004B04E6" w:rsidP="004B04E6">
      <w:pPr>
        <w:pStyle w:val="NormalWeb"/>
        <w:spacing w:before="0" w:beforeAutospacing="0" w:after="0" w:afterAutospacing="0"/>
        <w:jc w:val="both"/>
        <w:rPr>
          <w:rFonts w:ascii="Arial Narrow" w:hAnsi="Arial Narrow"/>
        </w:rPr>
      </w:pPr>
    </w:p>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rPr>
        <w:t>Teniendo como referencia la proyección de petróleo, carbón y otros minerales y la proyección del precio por barril, los ministerios respectivos planearon unos ingresos por regalías petroleras por el orden los 9 billones en 2018 comenzando con 5.8 billones en 2010 representado un incremento del 53% que en pesos son 3 billones adicionales en 8 años promediando un incremento anual del 5%; sumando las demás fuentes de regalías, se pasaría de 7.5 billones en 2010 a 12 billones en 2020.</w:t>
      </w:r>
    </w:p>
    <w:p w:rsidR="004B04E6" w:rsidRPr="001B4B14" w:rsidRDefault="004B04E6" w:rsidP="004B04E6">
      <w:pPr>
        <w:pStyle w:val="NormalWeb"/>
        <w:spacing w:before="0" w:beforeAutospacing="0" w:after="0" w:afterAutospacing="0"/>
        <w:jc w:val="both"/>
        <w:rPr>
          <w:rFonts w:ascii="Arial Narrow" w:hAnsi="Arial Narrow"/>
        </w:rPr>
      </w:pPr>
    </w:p>
    <w:p w:rsidR="004B04E6" w:rsidRPr="001B4B14" w:rsidRDefault="004B04E6" w:rsidP="004B04E6">
      <w:pPr>
        <w:pStyle w:val="NormalWeb"/>
        <w:spacing w:before="0" w:beforeAutospacing="0" w:after="0" w:afterAutospacing="0"/>
        <w:jc w:val="both"/>
        <w:rPr>
          <w:rFonts w:ascii="Arial Narrow" w:hAnsi="Arial Narrow"/>
          <w:b/>
          <w:sz w:val="22"/>
          <w:szCs w:val="22"/>
        </w:rPr>
      </w:pPr>
      <w:r w:rsidRPr="001B4B14">
        <w:rPr>
          <w:rFonts w:ascii="Arial Narrow" w:hAnsi="Arial Narrow"/>
          <w:b/>
          <w:sz w:val="22"/>
          <w:szCs w:val="22"/>
        </w:rPr>
        <w:t>Tabla No 3. Proyección de Ingresos de Regalías</w:t>
      </w:r>
    </w:p>
    <w:tbl>
      <w:tblPr>
        <w:tblW w:w="5000" w:type="pct"/>
        <w:tblCellMar>
          <w:left w:w="70" w:type="dxa"/>
          <w:right w:w="70" w:type="dxa"/>
        </w:tblCellMar>
        <w:tblLook w:val="04A0" w:firstRow="1" w:lastRow="0" w:firstColumn="1" w:lastColumn="0" w:noHBand="0" w:noVBand="1"/>
      </w:tblPr>
      <w:tblGrid>
        <w:gridCol w:w="1555"/>
        <w:gridCol w:w="624"/>
        <w:gridCol w:w="628"/>
        <w:gridCol w:w="623"/>
        <w:gridCol w:w="623"/>
        <w:gridCol w:w="623"/>
        <w:gridCol w:w="692"/>
        <w:gridCol w:w="692"/>
        <w:gridCol w:w="692"/>
        <w:gridCol w:w="692"/>
        <w:gridCol w:w="692"/>
        <w:gridCol w:w="692"/>
      </w:tblGrid>
      <w:tr w:rsidR="004B04E6" w:rsidRPr="001B4B14" w:rsidTr="00796562">
        <w:trPr>
          <w:trHeight w:val="300"/>
        </w:trPr>
        <w:tc>
          <w:tcPr>
            <w:tcW w:w="88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Calibri"/>
                <w:b/>
                <w:bCs/>
                <w:lang w:eastAsia="es-CO"/>
              </w:rPr>
            </w:pPr>
            <w:r w:rsidRPr="001B4B14">
              <w:rPr>
                <w:rFonts w:ascii="Arial Narrow" w:eastAsia="Times New Roman" w:hAnsi="Arial Narrow" w:cs="Calibri"/>
                <w:b/>
                <w:bCs/>
                <w:lang w:eastAsia="es-CO"/>
              </w:rPr>
              <w:t>Tipo de Recurso</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2010</w:t>
            </w:r>
          </w:p>
        </w:tc>
        <w:tc>
          <w:tcPr>
            <w:tcW w:w="355"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2011</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2012</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2013</w:t>
            </w:r>
          </w:p>
        </w:tc>
        <w:tc>
          <w:tcPr>
            <w:tcW w:w="353"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2014</w:t>
            </w:r>
          </w:p>
        </w:tc>
        <w:tc>
          <w:tcPr>
            <w:tcW w:w="392"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2015</w:t>
            </w:r>
          </w:p>
        </w:tc>
        <w:tc>
          <w:tcPr>
            <w:tcW w:w="392"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2016</w:t>
            </w:r>
          </w:p>
        </w:tc>
        <w:tc>
          <w:tcPr>
            <w:tcW w:w="392"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2017</w:t>
            </w:r>
          </w:p>
        </w:tc>
        <w:tc>
          <w:tcPr>
            <w:tcW w:w="392"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2018</w:t>
            </w:r>
          </w:p>
        </w:tc>
        <w:tc>
          <w:tcPr>
            <w:tcW w:w="392"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2019</w:t>
            </w:r>
          </w:p>
        </w:tc>
        <w:tc>
          <w:tcPr>
            <w:tcW w:w="392"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2020</w:t>
            </w:r>
          </w:p>
        </w:tc>
      </w:tr>
      <w:tr w:rsidR="004B04E6" w:rsidRPr="001B4B14" w:rsidTr="00796562">
        <w:trPr>
          <w:trHeight w:val="300"/>
        </w:trPr>
        <w:tc>
          <w:tcPr>
            <w:tcW w:w="880" w:type="pct"/>
            <w:tcBorders>
              <w:top w:val="nil"/>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Calibri"/>
                <w:lang w:eastAsia="es-CO"/>
              </w:rPr>
            </w:pPr>
            <w:r w:rsidRPr="001B4B14">
              <w:rPr>
                <w:rFonts w:ascii="Arial Narrow" w:eastAsia="Times New Roman" w:hAnsi="Arial Narrow" w:cs="Calibri"/>
                <w:lang w:eastAsia="es-CO"/>
              </w:rPr>
              <w:t>Hidrocarburos</w:t>
            </w:r>
          </w:p>
        </w:tc>
        <w:tc>
          <w:tcPr>
            <w:tcW w:w="353"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5,870</w:t>
            </w:r>
          </w:p>
        </w:tc>
        <w:tc>
          <w:tcPr>
            <w:tcW w:w="355"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7,290</w:t>
            </w:r>
          </w:p>
        </w:tc>
        <w:tc>
          <w:tcPr>
            <w:tcW w:w="353"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7,550</w:t>
            </w:r>
          </w:p>
        </w:tc>
        <w:tc>
          <w:tcPr>
            <w:tcW w:w="353"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8,010</w:t>
            </w:r>
          </w:p>
        </w:tc>
        <w:tc>
          <w:tcPr>
            <w:tcW w:w="353"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8,100</w:t>
            </w:r>
          </w:p>
        </w:tc>
        <w:tc>
          <w:tcPr>
            <w:tcW w:w="39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8,570</w:t>
            </w:r>
          </w:p>
        </w:tc>
        <w:tc>
          <w:tcPr>
            <w:tcW w:w="39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8,510</w:t>
            </w:r>
          </w:p>
        </w:tc>
        <w:tc>
          <w:tcPr>
            <w:tcW w:w="39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8,750</w:t>
            </w:r>
          </w:p>
        </w:tc>
        <w:tc>
          <w:tcPr>
            <w:tcW w:w="39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9,010</w:t>
            </w:r>
          </w:p>
        </w:tc>
        <w:tc>
          <w:tcPr>
            <w:tcW w:w="39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9,260</w:t>
            </w:r>
          </w:p>
        </w:tc>
        <w:tc>
          <w:tcPr>
            <w:tcW w:w="39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9,540</w:t>
            </w:r>
          </w:p>
        </w:tc>
      </w:tr>
      <w:tr w:rsidR="004B04E6" w:rsidRPr="001B4B14" w:rsidTr="00796562">
        <w:trPr>
          <w:trHeight w:val="300"/>
        </w:trPr>
        <w:tc>
          <w:tcPr>
            <w:tcW w:w="880" w:type="pct"/>
            <w:tcBorders>
              <w:top w:val="nil"/>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Calibri"/>
                <w:lang w:eastAsia="es-CO"/>
              </w:rPr>
            </w:pPr>
            <w:r w:rsidRPr="001B4B14">
              <w:rPr>
                <w:rFonts w:ascii="Arial Narrow" w:eastAsia="Times New Roman" w:hAnsi="Arial Narrow" w:cs="Calibri"/>
                <w:lang w:eastAsia="es-CO"/>
              </w:rPr>
              <w:t>Carbón</w:t>
            </w:r>
          </w:p>
        </w:tc>
        <w:tc>
          <w:tcPr>
            <w:tcW w:w="353"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1,331</w:t>
            </w:r>
          </w:p>
        </w:tc>
        <w:tc>
          <w:tcPr>
            <w:tcW w:w="355"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1,339</w:t>
            </w:r>
          </w:p>
        </w:tc>
        <w:tc>
          <w:tcPr>
            <w:tcW w:w="353"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1,379</w:t>
            </w:r>
          </w:p>
        </w:tc>
        <w:tc>
          <w:tcPr>
            <w:tcW w:w="353"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1,512</w:t>
            </w:r>
          </w:p>
        </w:tc>
        <w:tc>
          <w:tcPr>
            <w:tcW w:w="353"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1,512</w:t>
            </w:r>
          </w:p>
        </w:tc>
        <w:tc>
          <w:tcPr>
            <w:tcW w:w="39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1,501</w:t>
            </w:r>
          </w:p>
        </w:tc>
        <w:tc>
          <w:tcPr>
            <w:tcW w:w="39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1,567</w:t>
            </w:r>
          </w:p>
        </w:tc>
        <w:tc>
          <w:tcPr>
            <w:tcW w:w="39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1,649</w:t>
            </w:r>
          </w:p>
        </w:tc>
        <w:tc>
          <w:tcPr>
            <w:tcW w:w="39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1,695</w:t>
            </w:r>
          </w:p>
        </w:tc>
        <w:tc>
          <w:tcPr>
            <w:tcW w:w="39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1,801</w:t>
            </w:r>
          </w:p>
        </w:tc>
        <w:tc>
          <w:tcPr>
            <w:tcW w:w="39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2,047</w:t>
            </w:r>
          </w:p>
        </w:tc>
      </w:tr>
      <w:tr w:rsidR="004B04E6" w:rsidRPr="001B4B14" w:rsidTr="00796562">
        <w:trPr>
          <w:trHeight w:val="300"/>
        </w:trPr>
        <w:tc>
          <w:tcPr>
            <w:tcW w:w="880" w:type="pct"/>
            <w:tcBorders>
              <w:top w:val="nil"/>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Calibri"/>
                <w:lang w:eastAsia="es-CO"/>
              </w:rPr>
            </w:pPr>
            <w:r w:rsidRPr="001B4B14">
              <w:rPr>
                <w:rFonts w:ascii="Arial Narrow" w:eastAsia="Times New Roman" w:hAnsi="Arial Narrow" w:cs="Calibri"/>
                <w:lang w:eastAsia="es-CO"/>
              </w:rPr>
              <w:t>Níquel</w:t>
            </w:r>
          </w:p>
        </w:tc>
        <w:tc>
          <w:tcPr>
            <w:tcW w:w="353"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148</w:t>
            </w:r>
          </w:p>
        </w:tc>
        <w:tc>
          <w:tcPr>
            <w:tcW w:w="355"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70</w:t>
            </w:r>
          </w:p>
        </w:tc>
        <w:tc>
          <w:tcPr>
            <w:tcW w:w="353"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95</w:t>
            </w:r>
          </w:p>
        </w:tc>
        <w:tc>
          <w:tcPr>
            <w:tcW w:w="353"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99</w:t>
            </w:r>
          </w:p>
        </w:tc>
        <w:tc>
          <w:tcPr>
            <w:tcW w:w="353"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99</w:t>
            </w:r>
          </w:p>
        </w:tc>
        <w:tc>
          <w:tcPr>
            <w:tcW w:w="39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101</w:t>
            </w:r>
          </w:p>
        </w:tc>
        <w:tc>
          <w:tcPr>
            <w:tcW w:w="39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104</w:t>
            </w:r>
          </w:p>
        </w:tc>
        <w:tc>
          <w:tcPr>
            <w:tcW w:w="39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110</w:t>
            </w:r>
          </w:p>
        </w:tc>
        <w:tc>
          <w:tcPr>
            <w:tcW w:w="39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112</w:t>
            </w:r>
          </w:p>
        </w:tc>
        <w:tc>
          <w:tcPr>
            <w:tcW w:w="39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121</w:t>
            </w:r>
          </w:p>
        </w:tc>
        <w:tc>
          <w:tcPr>
            <w:tcW w:w="39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129</w:t>
            </w:r>
          </w:p>
        </w:tc>
      </w:tr>
      <w:tr w:rsidR="004B04E6" w:rsidRPr="001B4B14" w:rsidTr="00796562">
        <w:trPr>
          <w:trHeight w:val="300"/>
        </w:trPr>
        <w:tc>
          <w:tcPr>
            <w:tcW w:w="880" w:type="pct"/>
            <w:tcBorders>
              <w:top w:val="nil"/>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Calibri"/>
                <w:lang w:eastAsia="es-CO"/>
              </w:rPr>
            </w:pPr>
            <w:r w:rsidRPr="001B4B14">
              <w:rPr>
                <w:rFonts w:ascii="Arial Narrow" w:eastAsia="Times New Roman" w:hAnsi="Arial Narrow" w:cs="Calibri"/>
                <w:lang w:eastAsia="es-CO"/>
              </w:rPr>
              <w:t>Otros</w:t>
            </w:r>
          </w:p>
        </w:tc>
        <w:tc>
          <w:tcPr>
            <w:tcW w:w="353"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138</w:t>
            </w:r>
          </w:p>
        </w:tc>
        <w:tc>
          <w:tcPr>
            <w:tcW w:w="355"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143</w:t>
            </w:r>
          </w:p>
        </w:tc>
        <w:tc>
          <w:tcPr>
            <w:tcW w:w="353"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157</w:t>
            </w:r>
          </w:p>
        </w:tc>
        <w:tc>
          <w:tcPr>
            <w:tcW w:w="353"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188</w:t>
            </w:r>
          </w:p>
        </w:tc>
        <w:tc>
          <w:tcPr>
            <w:tcW w:w="353"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188</w:t>
            </w:r>
          </w:p>
        </w:tc>
        <w:tc>
          <w:tcPr>
            <w:tcW w:w="39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191</w:t>
            </w:r>
          </w:p>
        </w:tc>
        <w:tc>
          <w:tcPr>
            <w:tcW w:w="39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208</w:t>
            </w:r>
          </w:p>
        </w:tc>
        <w:tc>
          <w:tcPr>
            <w:tcW w:w="39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224</w:t>
            </w:r>
          </w:p>
        </w:tc>
        <w:tc>
          <w:tcPr>
            <w:tcW w:w="39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237</w:t>
            </w:r>
          </w:p>
        </w:tc>
        <w:tc>
          <w:tcPr>
            <w:tcW w:w="39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247</w:t>
            </w:r>
          </w:p>
        </w:tc>
        <w:tc>
          <w:tcPr>
            <w:tcW w:w="39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272</w:t>
            </w:r>
          </w:p>
        </w:tc>
      </w:tr>
      <w:tr w:rsidR="004B04E6" w:rsidRPr="001B4B14" w:rsidTr="00796562">
        <w:trPr>
          <w:trHeight w:val="300"/>
        </w:trPr>
        <w:tc>
          <w:tcPr>
            <w:tcW w:w="880" w:type="pct"/>
            <w:tcBorders>
              <w:top w:val="nil"/>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Calibri"/>
                <w:b/>
                <w:bCs/>
                <w:lang w:eastAsia="es-CO"/>
              </w:rPr>
            </w:pPr>
            <w:r w:rsidRPr="001B4B14">
              <w:rPr>
                <w:rFonts w:ascii="Arial Narrow" w:eastAsia="Times New Roman" w:hAnsi="Arial Narrow" w:cs="Calibri"/>
                <w:b/>
                <w:bCs/>
                <w:lang w:eastAsia="es-CO"/>
              </w:rPr>
              <w:t>Total</w:t>
            </w:r>
          </w:p>
        </w:tc>
        <w:tc>
          <w:tcPr>
            <w:tcW w:w="353"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7,487</w:t>
            </w:r>
          </w:p>
        </w:tc>
        <w:tc>
          <w:tcPr>
            <w:tcW w:w="355"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8,842</w:t>
            </w:r>
          </w:p>
        </w:tc>
        <w:tc>
          <w:tcPr>
            <w:tcW w:w="353"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9,181</w:t>
            </w:r>
          </w:p>
        </w:tc>
        <w:tc>
          <w:tcPr>
            <w:tcW w:w="353"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9,809</w:t>
            </w:r>
          </w:p>
        </w:tc>
        <w:tc>
          <w:tcPr>
            <w:tcW w:w="353"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9,899</w:t>
            </w:r>
          </w:p>
        </w:tc>
        <w:tc>
          <w:tcPr>
            <w:tcW w:w="39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10,363</w:t>
            </w:r>
          </w:p>
        </w:tc>
        <w:tc>
          <w:tcPr>
            <w:tcW w:w="39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10,389</w:t>
            </w:r>
          </w:p>
        </w:tc>
        <w:tc>
          <w:tcPr>
            <w:tcW w:w="39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10,733</w:t>
            </w:r>
          </w:p>
        </w:tc>
        <w:tc>
          <w:tcPr>
            <w:tcW w:w="39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11,054</w:t>
            </w:r>
          </w:p>
        </w:tc>
        <w:tc>
          <w:tcPr>
            <w:tcW w:w="39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11,429</w:t>
            </w:r>
          </w:p>
        </w:tc>
        <w:tc>
          <w:tcPr>
            <w:tcW w:w="39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11,988</w:t>
            </w:r>
          </w:p>
        </w:tc>
      </w:tr>
    </w:tbl>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rPr>
        <w:t>Fuente: Proyecto Acto Legislativo 05/2011</w:t>
      </w:r>
    </w:p>
    <w:p w:rsidR="004B04E6" w:rsidRPr="001B4B14" w:rsidRDefault="004B04E6" w:rsidP="004B04E6">
      <w:pPr>
        <w:pStyle w:val="NormalWeb"/>
        <w:spacing w:before="0" w:beforeAutospacing="0" w:after="0" w:afterAutospacing="0"/>
        <w:jc w:val="both"/>
        <w:rPr>
          <w:rFonts w:ascii="Arial Narrow" w:hAnsi="Arial Narrow"/>
        </w:rPr>
      </w:pPr>
    </w:p>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rPr>
        <w:t xml:space="preserve">Con la anterior premisa y proyecciones de producción, precio e ingresos anuales del nuevo SGR, se crearon los siguientes componentes:  </w:t>
      </w:r>
    </w:p>
    <w:p w:rsidR="004B04E6" w:rsidRPr="001B4B14" w:rsidRDefault="004B04E6" w:rsidP="004B04E6">
      <w:pPr>
        <w:pStyle w:val="NormalWeb"/>
        <w:spacing w:before="0" w:beforeAutospacing="0" w:after="0" w:afterAutospacing="0"/>
        <w:jc w:val="both"/>
        <w:rPr>
          <w:rFonts w:ascii="Arial Narrow" w:hAnsi="Arial Narrow"/>
        </w:rPr>
      </w:pPr>
    </w:p>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rPr>
        <w:t>1. Funcionamiento del SGR.</w:t>
      </w:r>
    </w:p>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rPr>
        <w:t>2. Sistema de Monitoreo, Seguimiento, Control y Evaluación SMSCE.</w:t>
      </w:r>
    </w:p>
    <w:p w:rsidR="004B04E6" w:rsidRPr="001B4B14" w:rsidRDefault="004B04E6" w:rsidP="004B04E6">
      <w:pPr>
        <w:pStyle w:val="NormalWeb"/>
        <w:spacing w:before="0" w:beforeAutospacing="0" w:after="0" w:afterAutospacing="0"/>
        <w:jc w:val="both"/>
        <w:rPr>
          <w:rFonts w:ascii="Arial Narrow" w:hAnsi="Arial Narrow" w:cs="Arial"/>
        </w:rPr>
      </w:pPr>
      <w:r w:rsidRPr="001B4B14">
        <w:rPr>
          <w:rFonts w:ascii="Arial Narrow" w:hAnsi="Arial Narrow" w:cs="Arial"/>
        </w:rPr>
        <w:t>3. Fiscalización de la exploración y explotación de los yacimientos y conocimiento y cartografía geológica del subsuelo</w:t>
      </w:r>
    </w:p>
    <w:p w:rsidR="004B04E6" w:rsidRPr="001B4B14" w:rsidRDefault="004B04E6" w:rsidP="004B04E6">
      <w:pPr>
        <w:pStyle w:val="NormalWeb"/>
        <w:spacing w:before="0" w:beforeAutospacing="0" w:after="0" w:afterAutospacing="0"/>
        <w:jc w:val="both"/>
        <w:rPr>
          <w:rFonts w:ascii="Arial Narrow" w:hAnsi="Arial Narrow" w:cs="Arial"/>
        </w:rPr>
      </w:pPr>
      <w:r w:rsidRPr="001B4B14">
        <w:rPr>
          <w:rFonts w:ascii="Arial Narrow" w:hAnsi="Arial Narrow" w:cs="Arial"/>
        </w:rPr>
        <w:t>4. Asignación a municipios ribereños del Río Grande de la Magdalena, incluidos, los del Canal del Dique</w:t>
      </w:r>
    </w:p>
    <w:p w:rsidR="004B04E6" w:rsidRPr="001B4B14" w:rsidRDefault="004B04E6" w:rsidP="004B04E6">
      <w:pPr>
        <w:pStyle w:val="NormalWeb"/>
        <w:spacing w:before="0" w:beforeAutospacing="0" w:after="0" w:afterAutospacing="0"/>
        <w:jc w:val="both"/>
        <w:rPr>
          <w:rFonts w:ascii="Arial Narrow" w:hAnsi="Arial Narrow" w:cs="Arial"/>
        </w:rPr>
      </w:pPr>
      <w:r w:rsidRPr="001B4B14">
        <w:rPr>
          <w:rFonts w:ascii="Arial Narrow" w:hAnsi="Arial Narrow" w:cs="Arial"/>
        </w:rPr>
        <w:t>5. Fondo de Ciencia, Tecnología e Innovación FCTeI</w:t>
      </w:r>
    </w:p>
    <w:p w:rsidR="004B04E6" w:rsidRPr="001B4B14" w:rsidRDefault="004B04E6" w:rsidP="004B04E6">
      <w:pPr>
        <w:pStyle w:val="NormalWeb"/>
        <w:spacing w:before="0" w:beforeAutospacing="0" w:after="0" w:afterAutospacing="0"/>
        <w:jc w:val="both"/>
        <w:rPr>
          <w:rFonts w:ascii="Arial Narrow" w:hAnsi="Arial Narrow" w:cs="Arial"/>
        </w:rPr>
      </w:pPr>
      <w:r w:rsidRPr="001B4B14">
        <w:rPr>
          <w:rFonts w:ascii="Arial Narrow" w:hAnsi="Arial Narrow" w:cs="Arial"/>
        </w:rPr>
        <w:t>6. Fondo Nacional de Pensionados de Entidades Territoriales FONPET</w:t>
      </w:r>
    </w:p>
    <w:p w:rsidR="004B04E6" w:rsidRPr="001B4B14" w:rsidRDefault="004B04E6" w:rsidP="004B04E6">
      <w:pPr>
        <w:pStyle w:val="NormalWeb"/>
        <w:spacing w:before="0" w:beforeAutospacing="0" w:after="0" w:afterAutospacing="0"/>
        <w:jc w:val="both"/>
        <w:rPr>
          <w:rFonts w:ascii="Arial Narrow" w:hAnsi="Arial Narrow" w:cs="Arial"/>
        </w:rPr>
      </w:pPr>
      <w:r w:rsidRPr="001B4B14">
        <w:rPr>
          <w:rFonts w:ascii="Arial Narrow" w:hAnsi="Arial Narrow" w:cs="Arial"/>
        </w:rPr>
        <w:t>7. Fondo de Ahorro y Estabilización FAE</w:t>
      </w:r>
    </w:p>
    <w:p w:rsidR="004B04E6" w:rsidRPr="001B4B14" w:rsidRDefault="004B04E6" w:rsidP="004B04E6">
      <w:pPr>
        <w:pStyle w:val="NormalWeb"/>
        <w:spacing w:before="0" w:beforeAutospacing="0" w:after="0" w:afterAutospacing="0"/>
        <w:jc w:val="both"/>
        <w:rPr>
          <w:rFonts w:ascii="Arial Narrow" w:hAnsi="Arial Narrow" w:cs="Arial"/>
        </w:rPr>
      </w:pPr>
      <w:r w:rsidRPr="001B4B14">
        <w:rPr>
          <w:rFonts w:ascii="Arial Narrow" w:hAnsi="Arial Narrow" w:cs="Arial"/>
        </w:rPr>
        <w:t>8. Fondo de Desarrollo Regional FDR</w:t>
      </w:r>
    </w:p>
    <w:p w:rsidR="004B04E6" w:rsidRPr="001B4B14" w:rsidRDefault="004B04E6" w:rsidP="004B04E6">
      <w:pPr>
        <w:pStyle w:val="NormalWeb"/>
        <w:spacing w:before="0" w:beforeAutospacing="0" w:after="0" w:afterAutospacing="0"/>
        <w:jc w:val="both"/>
        <w:rPr>
          <w:rFonts w:ascii="Arial Narrow" w:hAnsi="Arial Narrow" w:cs="Arial"/>
        </w:rPr>
      </w:pPr>
      <w:r w:rsidRPr="001B4B14">
        <w:rPr>
          <w:rFonts w:ascii="Arial Narrow" w:hAnsi="Arial Narrow" w:cs="Arial"/>
        </w:rPr>
        <w:t xml:space="preserve">9. Fondo de Compensación Regional FCR y </w:t>
      </w:r>
    </w:p>
    <w:p w:rsidR="004B04E6" w:rsidRDefault="004B04E6" w:rsidP="004B04E6">
      <w:pPr>
        <w:pStyle w:val="NormalWeb"/>
        <w:spacing w:before="0" w:beforeAutospacing="0" w:after="0" w:afterAutospacing="0"/>
        <w:jc w:val="both"/>
        <w:rPr>
          <w:rFonts w:ascii="Arial Narrow" w:hAnsi="Arial Narrow"/>
        </w:rPr>
      </w:pPr>
      <w:r w:rsidRPr="001B4B14">
        <w:rPr>
          <w:rFonts w:ascii="Arial Narrow" w:hAnsi="Arial Narrow" w:cs="Arial"/>
        </w:rPr>
        <w:t>10. Asignaciones Directas asignadas a los departamentos, municipios y distritos en cuyo territorio se adelanten explotaciones de recursos naturales no renovables, así como los municipios y distritos con puertos marítimos y fluviales por donde se transporten dichos recursos o productos derivados de los mismos.</w:t>
      </w:r>
    </w:p>
    <w:p w:rsidR="004B04E6" w:rsidRPr="001B4B14" w:rsidRDefault="004B04E6" w:rsidP="004B04E6">
      <w:pPr>
        <w:pStyle w:val="NormalWeb"/>
        <w:spacing w:before="0" w:beforeAutospacing="0" w:after="0" w:afterAutospacing="0"/>
        <w:jc w:val="both"/>
        <w:rPr>
          <w:rFonts w:ascii="Arial Narrow" w:hAnsi="Arial Narrow"/>
        </w:rPr>
      </w:pPr>
    </w:p>
    <w:p w:rsidR="004B04E6" w:rsidRPr="001B4B14" w:rsidRDefault="004B04E6" w:rsidP="004B04E6">
      <w:pPr>
        <w:pStyle w:val="NormalWeb"/>
        <w:spacing w:before="0" w:beforeAutospacing="0" w:after="0" w:afterAutospacing="0"/>
        <w:jc w:val="both"/>
        <w:rPr>
          <w:rFonts w:ascii="Arial Narrow" w:hAnsi="Arial Narrow" w:cs="Arial"/>
        </w:rPr>
      </w:pPr>
      <w:r w:rsidRPr="001B4B14">
        <w:rPr>
          <w:rFonts w:ascii="Arial Narrow" w:hAnsi="Arial Narrow" w:cs="Arial"/>
        </w:rPr>
        <w:t>La asignación porcentual a los anteriores componentes se hizo de manera residual, no vertical; de manera que confunde al grueso de la comunidad en cuanto a la participación en la torta en especial a las zonas productoras con la asignación de las Asignaciones Directas.</w:t>
      </w:r>
    </w:p>
    <w:p w:rsidR="004B04E6" w:rsidRPr="001B4B14" w:rsidRDefault="004B04E6" w:rsidP="004B04E6">
      <w:pPr>
        <w:pStyle w:val="NormalWeb"/>
        <w:spacing w:before="0" w:beforeAutospacing="0" w:after="0" w:afterAutospacing="0"/>
        <w:jc w:val="both"/>
        <w:rPr>
          <w:rFonts w:ascii="Arial Narrow" w:hAnsi="Arial Narrow" w:cs="Arial"/>
        </w:rPr>
      </w:pPr>
    </w:p>
    <w:p w:rsidR="004B04E6" w:rsidRPr="001B4B14" w:rsidRDefault="004B04E6" w:rsidP="004B04E6">
      <w:pPr>
        <w:pStyle w:val="NormalWeb"/>
        <w:spacing w:before="0" w:beforeAutospacing="0" w:after="0" w:afterAutospacing="0"/>
        <w:jc w:val="both"/>
        <w:rPr>
          <w:rFonts w:ascii="Arial Narrow" w:hAnsi="Arial Narrow" w:cs="Arial"/>
        </w:rPr>
      </w:pPr>
      <w:r w:rsidRPr="001B4B14">
        <w:rPr>
          <w:rFonts w:ascii="Arial Narrow" w:hAnsi="Arial Narrow" w:cs="Arial"/>
        </w:rPr>
        <w:t>El Acto Legislativo asigna el 5% a lo que se le podría llamar administración la cual incluye un 2% para la Fiscalización, 1% para el SMSCE, hasta el</w:t>
      </w:r>
      <w:r>
        <w:rPr>
          <w:rFonts w:ascii="Arial Narrow" w:hAnsi="Arial Narrow" w:cs="Arial"/>
        </w:rPr>
        <w:t xml:space="preserve"> 2% para el funcionamiento del </w:t>
      </w:r>
      <w:r w:rsidRPr="001B4B14">
        <w:rPr>
          <w:rFonts w:ascii="Arial Narrow" w:hAnsi="Arial Narrow" w:cs="Arial"/>
        </w:rPr>
        <w:t>istema y adicional a lo anterior, un 0,5% a los municipios ribereños del Magdalena.</w:t>
      </w:r>
    </w:p>
    <w:p w:rsidR="004B04E6" w:rsidRPr="001B4B14" w:rsidRDefault="004B04E6" w:rsidP="004B04E6">
      <w:pPr>
        <w:pStyle w:val="NormalWeb"/>
        <w:spacing w:before="0" w:beforeAutospacing="0" w:after="0" w:afterAutospacing="0"/>
        <w:jc w:val="both"/>
        <w:rPr>
          <w:rFonts w:ascii="Arial Narrow" w:hAnsi="Arial Narrow" w:cs="Arial"/>
        </w:rPr>
      </w:pPr>
    </w:p>
    <w:p w:rsidR="004B04E6" w:rsidRDefault="004B04E6" w:rsidP="004B04E6">
      <w:pPr>
        <w:pStyle w:val="NormalWeb"/>
        <w:spacing w:before="0" w:beforeAutospacing="0" w:after="0" w:afterAutospacing="0"/>
        <w:jc w:val="both"/>
        <w:rPr>
          <w:rFonts w:ascii="Arial Narrow" w:hAnsi="Arial Narrow" w:cs="Arial"/>
        </w:rPr>
      </w:pPr>
      <w:r w:rsidRPr="001B4B14">
        <w:rPr>
          <w:rFonts w:ascii="Arial Narrow" w:hAnsi="Arial Narrow" w:cs="Arial"/>
        </w:rPr>
        <w:t>De la misma forma pero después de descontar los porcentajes anteriores al total, se le asigna un 10% al FCTeI, 10% al FONPET y hasta el 30% al FAE. Los recursos restantes, se distribuyen un 80% a los dos Fondos de Inversión (FDR y FCR) y un 20% a las Asignaciones Directas para las entidades territoriales denominadas productoras y a los municipios portuarios.</w:t>
      </w:r>
    </w:p>
    <w:p w:rsidR="004B04E6" w:rsidRDefault="004B04E6" w:rsidP="004B04E6">
      <w:pPr>
        <w:pStyle w:val="NormalWeb"/>
        <w:spacing w:before="0" w:beforeAutospacing="0" w:after="0" w:afterAutospacing="0"/>
        <w:jc w:val="both"/>
        <w:rPr>
          <w:rFonts w:ascii="Arial Narrow" w:hAnsi="Arial Narrow" w:cs="Arial"/>
        </w:rPr>
      </w:pPr>
    </w:p>
    <w:p w:rsidR="004B04E6" w:rsidRDefault="004B04E6" w:rsidP="004B04E6">
      <w:pPr>
        <w:pStyle w:val="NormalWeb"/>
        <w:spacing w:before="0" w:beforeAutospacing="0" w:after="0" w:afterAutospacing="0"/>
        <w:jc w:val="both"/>
        <w:rPr>
          <w:rFonts w:ascii="Arial Narrow" w:hAnsi="Arial Narrow"/>
        </w:rPr>
      </w:pPr>
    </w:p>
    <w:p w:rsidR="004B04E6" w:rsidRPr="001B4B14" w:rsidRDefault="004B04E6" w:rsidP="004B04E6">
      <w:pPr>
        <w:pStyle w:val="NormalWeb"/>
        <w:spacing w:before="0" w:beforeAutospacing="0" w:after="0" w:afterAutospacing="0"/>
        <w:jc w:val="both"/>
        <w:rPr>
          <w:rFonts w:ascii="Arial Narrow" w:hAnsi="Arial Narrow"/>
        </w:rPr>
      </w:pPr>
    </w:p>
    <w:p w:rsidR="004B04E6" w:rsidRPr="001B4B14" w:rsidRDefault="004B04E6" w:rsidP="004B04E6">
      <w:pPr>
        <w:pStyle w:val="NormalWeb"/>
        <w:spacing w:before="0" w:beforeAutospacing="0" w:after="0" w:afterAutospacing="0"/>
        <w:jc w:val="both"/>
        <w:rPr>
          <w:rFonts w:ascii="Arial Narrow" w:hAnsi="Arial Narrow"/>
          <w:b/>
        </w:rPr>
      </w:pPr>
      <w:r w:rsidRPr="001B4B14">
        <w:rPr>
          <w:rFonts w:ascii="Arial Narrow" w:hAnsi="Arial Narrow"/>
          <w:b/>
        </w:rPr>
        <w:t>Tabla No 4. Distribución SGR Acto Legislativo 05 de 2011</w:t>
      </w:r>
    </w:p>
    <w:tbl>
      <w:tblPr>
        <w:tblW w:w="5000" w:type="pct"/>
        <w:tblCellMar>
          <w:left w:w="70" w:type="dxa"/>
          <w:right w:w="70" w:type="dxa"/>
        </w:tblCellMar>
        <w:tblLook w:val="04A0" w:firstRow="1" w:lastRow="0" w:firstColumn="1" w:lastColumn="0" w:noHBand="0" w:noVBand="1"/>
      </w:tblPr>
      <w:tblGrid>
        <w:gridCol w:w="3465"/>
        <w:gridCol w:w="1640"/>
        <w:gridCol w:w="2106"/>
        <w:gridCol w:w="1617"/>
      </w:tblGrid>
      <w:tr w:rsidR="004B04E6" w:rsidRPr="001B4B14" w:rsidTr="00796562">
        <w:trPr>
          <w:trHeight w:val="225"/>
        </w:trPr>
        <w:tc>
          <w:tcPr>
            <w:tcW w:w="19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Presupuesto</w:t>
            </w:r>
          </w:p>
        </w:tc>
        <w:tc>
          <w:tcPr>
            <w:tcW w:w="3037" w:type="pct"/>
            <w:gridSpan w:val="3"/>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$1,000,000</w:t>
            </w:r>
          </w:p>
        </w:tc>
      </w:tr>
      <w:tr w:rsidR="004B04E6" w:rsidRPr="001B4B14" w:rsidTr="00796562">
        <w:trPr>
          <w:trHeight w:val="225"/>
        </w:trPr>
        <w:tc>
          <w:tcPr>
            <w:tcW w:w="1963" w:type="pct"/>
            <w:vMerge w:val="restart"/>
            <w:tcBorders>
              <w:top w:val="nil"/>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sz w:val="24"/>
                <w:szCs w:val="24"/>
                <w:lang w:eastAsia="es-CO"/>
              </w:rPr>
            </w:pPr>
            <w:r w:rsidRPr="001B4B14">
              <w:rPr>
                <w:rFonts w:ascii="Arial Narrow" w:eastAsia="Times New Roman" w:hAnsi="Arial Narrow" w:cs="Calibri"/>
                <w:b/>
                <w:bCs/>
                <w:sz w:val="24"/>
                <w:szCs w:val="24"/>
                <w:lang w:eastAsia="es-CO"/>
              </w:rPr>
              <w:t>CONCEPTO</w:t>
            </w:r>
          </w:p>
        </w:tc>
        <w:tc>
          <w:tcPr>
            <w:tcW w:w="2122" w:type="pct"/>
            <w:gridSpan w:val="2"/>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Acto Legislativo 05/11</w:t>
            </w:r>
          </w:p>
        </w:tc>
        <w:tc>
          <w:tcPr>
            <w:tcW w:w="915"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4"/>
                <w:szCs w:val="24"/>
                <w:lang w:eastAsia="es-CO"/>
              </w:rPr>
            </w:pPr>
          </w:p>
        </w:tc>
      </w:tr>
      <w:tr w:rsidR="004B04E6" w:rsidRPr="001B4B14" w:rsidTr="00796562">
        <w:trPr>
          <w:trHeight w:val="300"/>
        </w:trPr>
        <w:tc>
          <w:tcPr>
            <w:tcW w:w="1963" w:type="pct"/>
            <w:vMerge/>
            <w:tcBorders>
              <w:top w:val="nil"/>
              <w:left w:val="single" w:sz="4" w:space="0" w:color="auto"/>
              <w:bottom w:val="single" w:sz="4" w:space="0" w:color="auto"/>
              <w:right w:val="single" w:sz="4" w:space="0" w:color="auto"/>
            </w:tcBorders>
            <w:vAlign w:val="center"/>
            <w:hideMark/>
          </w:tcPr>
          <w:p w:rsidR="004B04E6" w:rsidRPr="001B4B14" w:rsidRDefault="004B04E6" w:rsidP="00796562">
            <w:pPr>
              <w:spacing w:after="0" w:line="240" w:lineRule="auto"/>
              <w:rPr>
                <w:rFonts w:ascii="Arial Narrow" w:eastAsia="Times New Roman" w:hAnsi="Arial Narrow" w:cs="Calibri"/>
                <w:b/>
                <w:bCs/>
                <w:sz w:val="24"/>
                <w:szCs w:val="24"/>
                <w:lang w:eastAsia="es-CO"/>
              </w:rPr>
            </w:pPr>
          </w:p>
        </w:tc>
        <w:tc>
          <w:tcPr>
            <w:tcW w:w="929"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sz w:val="24"/>
                <w:szCs w:val="24"/>
                <w:lang w:eastAsia="es-CO"/>
              </w:rPr>
            </w:pPr>
            <w:r w:rsidRPr="001B4B14">
              <w:rPr>
                <w:rFonts w:ascii="Arial Narrow" w:eastAsia="Times New Roman" w:hAnsi="Arial Narrow" w:cs="Calibri"/>
                <w:b/>
                <w:bCs/>
                <w:sz w:val="24"/>
                <w:szCs w:val="24"/>
                <w:lang w:eastAsia="es-CO"/>
              </w:rPr>
              <w:t>Porcentaje</w:t>
            </w:r>
          </w:p>
        </w:tc>
        <w:tc>
          <w:tcPr>
            <w:tcW w:w="1193"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sz w:val="24"/>
                <w:szCs w:val="24"/>
                <w:lang w:eastAsia="es-CO"/>
              </w:rPr>
            </w:pPr>
            <w:r w:rsidRPr="001B4B14">
              <w:rPr>
                <w:rFonts w:ascii="Arial Narrow" w:eastAsia="Times New Roman" w:hAnsi="Arial Narrow" w:cs="Calibri"/>
                <w:b/>
                <w:bCs/>
                <w:sz w:val="24"/>
                <w:szCs w:val="24"/>
                <w:lang w:eastAsia="es-CO"/>
              </w:rPr>
              <w:t>Recursos</w:t>
            </w:r>
          </w:p>
        </w:tc>
        <w:tc>
          <w:tcPr>
            <w:tcW w:w="915"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sz w:val="24"/>
                <w:szCs w:val="24"/>
                <w:lang w:eastAsia="es-CO"/>
              </w:rPr>
            </w:pPr>
            <w:r w:rsidRPr="001B4B14">
              <w:rPr>
                <w:rFonts w:ascii="Arial Narrow" w:eastAsia="Times New Roman" w:hAnsi="Arial Narrow" w:cs="Calibri"/>
                <w:b/>
                <w:sz w:val="24"/>
                <w:szCs w:val="24"/>
                <w:lang w:eastAsia="es-CO"/>
              </w:rPr>
              <w:t>Porcentaje Real</w:t>
            </w:r>
          </w:p>
        </w:tc>
      </w:tr>
      <w:tr w:rsidR="004B04E6" w:rsidRPr="001B4B14" w:rsidTr="00796562">
        <w:trPr>
          <w:trHeight w:val="225"/>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Fiscalización Nacional</w:t>
            </w:r>
          </w:p>
        </w:tc>
        <w:tc>
          <w:tcPr>
            <w:tcW w:w="929"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2.0%</w:t>
            </w:r>
          </w:p>
        </w:tc>
        <w:tc>
          <w:tcPr>
            <w:tcW w:w="1193"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20,000</w:t>
            </w:r>
          </w:p>
        </w:tc>
        <w:tc>
          <w:tcPr>
            <w:tcW w:w="915"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2.00%</w:t>
            </w:r>
          </w:p>
        </w:tc>
      </w:tr>
      <w:tr w:rsidR="004B04E6" w:rsidRPr="001B4B14" w:rsidTr="00796562">
        <w:trPr>
          <w:trHeight w:val="225"/>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SMSCE</w:t>
            </w:r>
          </w:p>
        </w:tc>
        <w:tc>
          <w:tcPr>
            <w:tcW w:w="929"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1.0%</w:t>
            </w:r>
          </w:p>
        </w:tc>
        <w:tc>
          <w:tcPr>
            <w:tcW w:w="1193"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10,000</w:t>
            </w:r>
          </w:p>
        </w:tc>
        <w:tc>
          <w:tcPr>
            <w:tcW w:w="915"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1.00%</w:t>
            </w:r>
          </w:p>
        </w:tc>
      </w:tr>
      <w:tr w:rsidR="004B04E6" w:rsidRPr="001B4B14" w:rsidTr="00796562">
        <w:trPr>
          <w:trHeight w:val="225"/>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Funcionamiento</w:t>
            </w:r>
          </w:p>
        </w:tc>
        <w:tc>
          <w:tcPr>
            <w:tcW w:w="929"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2.0%</w:t>
            </w:r>
          </w:p>
        </w:tc>
        <w:tc>
          <w:tcPr>
            <w:tcW w:w="1193"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20,000</w:t>
            </w:r>
          </w:p>
        </w:tc>
        <w:tc>
          <w:tcPr>
            <w:tcW w:w="915"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2.00%</w:t>
            </w:r>
          </w:p>
        </w:tc>
      </w:tr>
      <w:tr w:rsidR="004B04E6" w:rsidRPr="001B4B14" w:rsidTr="00796562">
        <w:trPr>
          <w:trHeight w:val="225"/>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Ribereños</w:t>
            </w:r>
          </w:p>
        </w:tc>
        <w:tc>
          <w:tcPr>
            <w:tcW w:w="929"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0.5%</w:t>
            </w:r>
          </w:p>
        </w:tc>
        <w:tc>
          <w:tcPr>
            <w:tcW w:w="1193"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5,000</w:t>
            </w:r>
          </w:p>
        </w:tc>
        <w:tc>
          <w:tcPr>
            <w:tcW w:w="915"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0.50%</w:t>
            </w:r>
          </w:p>
        </w:tc>
      </w:tr>
      <w:tr w:rsidR="004B04E6" w:rsidRPr="001B4B14" w:rsidTr="00796562">
        <w:trPr>
          <w:trHeight w:val="300"/>
        </w:trPr>
        <w:tc>
          <w:tcPr>
            <w:tcW w:w="1963" w:type="pct"/>
            <w:tcBorders>
              <w:top w:val="nil"/>
              <w:left w:val="single" w:sz="4" w:space="0" w:color="auto"/>
              <w:bottom w:val="single" w:sz="4" w:space="0" w:color="auto"/>
              <w:right w:val="single" w:sz="4" w:space="0" w:color="auto"/>
            </w:tcBorders>
            <w:shd w:val="clear" w:color="000000" w:fill="BFBFBF"/>
            <w:noWrap/>
            <w:vAlign w:val="bottom"/>
            <w:hideMark/>
          </w:tcPr>
          <w:p w:rsidR="004B04E6" w:rsidRPr="001B4B14" w:rsidRDefault="004B04E6" w:rsidP="00796562">
            <w:pPr>
              <w:spacing w:after="0" w:line="240" w:lineRule="auto"/>
              <w:rPr>
                <w:rFonts w:ascii="Arial Narrow" w:eastAsia="Times New Roman" w:hAnsi="Arial Narrow" w:cs="Calibri"/>
                <w:b/>
                <w:bCs/>
                <w:sz w:val="24"/>
                <w:szCs w:val="24"/>
                <w:lang w:eastAsia="es-CO"/>
              </w:rPr>
            </w:pPr>
            <w:r w:rsidRPr="001B4B14">
              <w:rPr>
                <w:rFonts w:ascii="Arial Narrow" w:eastAsia="Times New Roman" w:hAnsi="Arial Narrow" w:cs="Calibri"/>
                <w:b/>
                <w:bCs/>
                <w:sz w:val="24"/>
                <w:szCs w:val="24"/>
                <w:lang w:eastAsia="es-CO"/>
              </w:rPr>
              <w:t>Subtotal</w:t>
            </w:r>
          </w:p>
        </w:tc>
        <w:tc>
          <w:tcPr>
            <w:tcW w:w="929" w:type="pct"/>
            <w:tcBorders>
              <w:top w:val="nil"/>
              <w:left w:val="nil"/>
              <w:bottom w:val="single" w:sz="4" w:space="0" w:color="auto"/>
              <w:right w:val="single" w:sz="4" w:space="0" w:color="auto"/>
            </w:tcBorders>
            <w:shd w:val="clear" w:color="000000" w:fill="BFBFBF"/>
            <w:noWrap/>
            <w:vAlign w:val="bottom"/>
            <w:hideMark/>
          </w:tcPr>
          <w:p w:rsidR="004B04E6" w:rsidRPr="001B4B14" w:rsidRDefault="004B04E6" w:rsidP="00796562">
            <w:pPr>
              <w:spacing w:after="0" w:line="240" w:lineRule="auto"/>
              <w:jc w:val="center"/>
              <w:rPr>
                <w:rFonts w:ascii="Arial Narrow" w:eastAsia="Times New Roman" w:hAnsi="Arial Narrow" w:cs="Calibri"/>
                <w:b/>
                <w:bCs/>
                <w:sz w:val="24"/>
                <w:szCs w:val="24"/>
                <w:lang w:eastAsia="es-CO"/>
              </w:rPr>
            </w:pPr>
          </w:p>
        </w:tc>
        <w:tc>
          <w:tcPr>
            <w:tcW w:w="1193" w:type="pct"/>
            <w:tcBorders>
              <w:top w:val="nil"/>
              <w:left w:val="nil"/>
              <w:bottom w:val="single" w:sz="4" w:space="0" w:color="auto"/>
              <w:right w:val="single" w:sz="4" w:space="0" w:color="auto"/>
            </w:tcBorders>
            <w:shd w:val="clear" w:color="000000" w:fill="BFBFBF"/>
            <w:noWrap/>
            <w:vAlign w:val="bottom"/>
            <w:hideMark/>
          </w:tcPr>
          <w:p w:rsidR="004B04E6" w:rsidRPr="001B4B14" w:rsidRDefault="004B04E6" w:rsidP="00796562">
            <w:pPr>
              <w:spacing w:after="0" w:line="240" w:lineRule="auto"/>
              <w:jc w:val="center"/>
              <w:rPr>
                <w:rFonts w:ascii="Arial Narrow" w:eastAsia="Times New Roman" w:hAnsi="Arial Narrow" w:cs="Calibri"/>
                <w:b/>
                <w:bCs/>
                <w:sz w:val="24"/>
                <w:szCs w:val="24"/>
                <w:lang w:eastAsia="es-CO"/>
              </w:rPr>
            </w:pPr>
            <w:r w:rsidRPr="001B4B14">
              <w:rPr>
                <w:rFonts w:ascii="Arial Narrow" w:eastAsia="Times New Roman" w:hAnsi="Arial Narrow" w:cs="Calibri"/>
                <w:b/>
                <w:bCs/>
                <w:sz w:val="24"/>
                <w:szCs w:val="24"/>
                <w:lang w:eastAsia="es-CO"/>
              </w:rPr>
              <w:t>55,000</w:t>
            </w:r>
          </w:p>
        </w:tc>
        <w:tc>
          <w:tcPr>
            <w:tcW w:w="915" w:type="pct"/>
            <w:tcBorders>
              <w:top w:val="nil"/>
              <w:left w:val="nil"/>
              <w:bottom w:val="single" w:sz="4" w:space="0" w:color="auto"/>
              <w:right w:val="single" w:sz="4" w:space="0" w:color="auto"/>
            </w:tcBorders>
            <w:shd w:val="clear" w:color="000000" w:fill="BFBFBF"/>
            <w:noWrap/>
            <w:vAlign w:val="bottom"/>
            <w:hideMark/>
          </w:tcPr>
          <w:p w:rsidR="004B04E6" w:rsidRPr="001B4B14" w:rsidRDefault="004B04E6" w:rsidP="00796562">
            <w:pPr>
              <w:spacing w:after="0" w:line="240" w:lineRule="auto"/>
              <w:jc w:val="center"/>
              <w:rPr>
                <w:rFonts w:ascii="Arial Narrow" w:eastAsia="Times New Roman" w:hAnsi="Arial Narrow" w:cs="Calibri"/>
                <w:b/>
                <w:bCs/>
                <w:sz w:val="24"/>
                <w:szCs w:val="24"/>
                <w:lang w:eastAsia="es-CO"/>
              </w:rPr>
            </w:pPr>
          </w:p>
        </w:tc>
      </w:tr>
      <w:tr w:rsidR="004B04E6" w:rsidRPr="001B4B14" w:rsidTr="00796562">
        <w:trPr>
          <w:trHeight w:val="300"/>
        </w:trPr>
        <w:tc>
          <w:tcPr>
            <w:tcW w:w="1963"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4B04E6" w:rsidRPr="001B4B14" w:rsidRDefault="004B04E6" w:rsidP="00796562">
            <w:pPr>
              <w:spacing w:after="0" w:line="240" w:lineRule="auto"/>
              <w:rPr>
                <w:rFonts w:ascii="Arial Narrow" w:eastAsia="Times New Roman" w:hAnsi="Arial Narrow" w:cs="Calibri"/>
                <w:b/>
                <w:bCs/>
                <w:sz w:val="24"/>
                <w:szCs w:val="24"/>
                <w:lang w:eastAsia="es-CO"/>
              </w:rPr>
            </w:pPr>
            <w:r w:rsidRPr="001B4B14">
              <w:rPr>
                <w:rFonts w:ascii="Arial Narrow" w:eastAsia="Times New Roman" w:hAnsi="Arial Narrow" w:cs="Calibri"/>
                <w:b/>
                <w:bCs/>
                <w:sz w:val="24"/>
                <w:szCs w:val="24"/>
                <w:lang w:eastAsia="es-CO"/>
              </w:rPr>
              <w:t>Saldo Por Distribuir</w:t>
            </w:r>
          </w:p>
        </w:tc>
        <w:tc>
          <w:tcPr>
            <w:tcW w:w="929"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4B04E6" w:rsidRPr="001B4B14" w:rsidRDefault="004B04E6" w:rsidP="00796562">
            <w:pPr>
              <w:spacing w:after="0" w:line="240" w:lineRule="auto"/>
              <w:jc w:val="center"/>
              <w:rPr>
                <w:rFonts w:ascii="Arial Narrow" w:eastAsia="Times New Roman" w:hAnsi="Arial Narrow" w:cs="Calibri"/>
                <w:b/>
                <w:bCs/>
                <w:sz w:val="24"/>
                <w:szCs w:val="24"/>
                <w:lang w:eastAsia="es-CO"/>
              </w:rPr>
            </w:pPr>
          </w:p>
        </w:tc>
        <w:tc>
          <w:tcPr>
            <w:tcW w:w="1193"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4B04E6" w:rsidRPr="001B4B14" w:rsidRDefault="004B04E6" w:rsidP="00796562">
            <w:pPr>
              <w:spacing w:after="0" w:line="240" w:lineRule="auto"/>
              <w:jc w:val="center"/>
              <w:rPr>
                <w:rFonts w:ascii="Arial Narrow" w:eastAsia="Times New Roman" w:hAnsi="Arial Narrow" w:cs="Calibri"/>
                <w:b/>
                <w:bCs/>
                <w:sz w:val="24"/>
                <w:szCs w:val="24"/>
                <w:lang w:eastAsia="es-CO"/>
              </w:rPr>
            </w:pPr>
            <w:r w:rsidRPr="001B4B14">
              <w:rPr>
                <w:rFonts w:ascii="Arial Narrow" w:eastAsia="Times New Roman" w:hAnsi="Arial Narrow" w:cs="Calibri"/>
                <w:b/>
                <w:bCs/>
                <w:sz w:val="24"/>
                <w:szCs w:val="24"/>
                <w:lang w:eastAsia="es-CO"/>
              </w:rPr>
              <w:t>945,000</w:t>
            </w:r>
          </w:p>
        </w:tc>
        <w:tc>
          <w:tcPr>
            <w:tcW w:w="915"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4B04E6" w:rsidRPr="001B4B14" w:rsidRDefault="004B04E6" w:rsidP="00796562">
            <w:pPr>
              <w:spacing w:after="0" w:line="240" w:lineRule="auto"/>
              <w:jc w:val="center"/>
              <w:rPr>
                <w:rFonts w:ascii="Arial Narrow" w:eastAsia="Times New Roman" w:hAnsi="Arial Narrow" w:cs="Calibri"/>
                <w:b/>
                <w:bCs/>
                <w:sz w:val="24"/>
                <w:szCs w:val="24"/>
                <w:lang w:eastAsia="es-CO"/>
              </w:rPr>
            </w:pPr>
          </w:p>
        </w:tc>
      </w:tr>
      <w:tr w:rsidR="004B04E6" w:rsidRPr="001B4B14" w:rsidTr="00796562">
        <w:trPr>
          <w:trHeight w:val="225"/>
        </w:trPr>
        <w:tc>
          <w:tcPr>
            <w:tcW w:w="19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 </w:t>
            </w:r>
          </w:p>
        </w:tc>
        <w:tc>
          <w:tcPr>
            <w:tcW w:w="929"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4"/>
                <w:szCs w:val="24"/>
                <w:lang w:eastAsia="es-CO"/>
              </w:rPr>
            </w:pPr>
          </w:p>
        </w:tc>
        <w:tc>
          <w:tcPr>
            <w:tcW w:w="1193"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4"/>
                <w:szCs w:val="24"/>
                <w:lang w:eastAsia="es-CO"/>
              </w:rPr>
            </w:pPr>
          </w:p>
        </w:tc>
        <w:tc>
          <w:tcPr>
            <w:tcW w:w="915"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4"/>
                <w:szCs w:val="24"/>
                <w:lang w:eastAsia="es-CO"/>
              </w:rPr>
            </w:pPr>
          </w:p>
        </w:tc>
      </w:tr>
      <w:tr w:rsidR="004B04E6" w:rsidRPr="001B4B14" w:rsidTr="00796562">
        <w:trPr>
          <w:trHeight w:val="225"/>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Fondo de Ciencia y Tecnología</w:t>
            </w:r>
          </w:p>
        </w:tc>
        <w:tc>
          <w:tcPr>
            <w:tcW w:w="929"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10.00%</w:t>
            </w:r>
          </w:p>
        </w:tc>
        <w:tc>
          <w:tcPr>
            <w:tcW w:w="1193"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94,500</w:t>
            </w:r>
          </w:p>
        </w:tc>
        <w:tc>
          <w:tcPr>
            <w:tcW w:w="915"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9.45%</w:t>
            </w:r>
          </w:p>
        </w:tc>
      </w:tr>
      <w:tr w:rsidR="004B04E6" w:rsidRPr="001B4B14" w:rsidTr="00796562">
        <w:trPr>
          <w:trHeight w:val="225"/>
        </w:trPr>
        <w:tc>
          <w:tcPr>
            <w:tcW w:w="19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Fonpet</w:t>
            </w:r>
          </w:p>
        </w:tc>
        <w:tc>
          <w:tcPr>
            <w:tcW w:w="92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10.00%</w:t>
            </w:r>
          </w:p>
        </w:tc>
        <w:tc>
          <w:tcPr>
            <w:tcW w:w="11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94,500</w:t>
            </w:r>
          </w:p>
        </w:tc>
        <w:tc>
          <w:tcPr>
            <w:tcW w:w="9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9.45%</w:t>
            </w:r>
          </w:p>
        </w:tc>
      </w:tr>
      <w:tr w:rsidR="004B04E6" w:rsidRPr="001B4B14" w:rsidTr="00796562">
        <w:trPr>
          <w:trHeight w:val="225"/>
        </w:trPr>
        <w:tc>
          <w:tcPr>
            <w:tcW w:w="196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Fondo de Ahorro y Estabilización</w:t>
            </w:r>
          </w:p>
        </w:tc>
        <w:tc>
          <w:tcPr>
            <w:tcW w:w="929"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30.00%</w:t>
            </w:r>
          </w:p>
        </w:tc>
        <w:tc>
          <w:tcPr>
            <w:tcW w:w="1193"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283,500</w:t>
            </w:r>
          </w:p>
        </w:tc>
        <w:tc>
          <w:tcPr>
            <w:tcW w:w="915"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28.35%</w:t>
            </w:r>
          </w:p>
        </w:tc>
      </w:tr>
      <w:tr w:rsidR="004B04E6" w:rsidRPr="001B4B14" w:rsidTr="00796562">
        <w:trPr>
          <w:trHeight w:val="300"/>
        </w:trPr>
        <w:tc>
          <w:tcPr>
            <w:tcW w:w="1963" w:type="pct"/>
            <w:tcBorders>
              <w:top w:val="nil"/>
              <w:left w:val="single" w:sz="4" w:space="0" w:color="auto"/>
              <w:bottom w:val="single" w:sz="4" w:space="0" w:color="auto"/>
              <w:right w:val="single" w:sz="4" w:space="0" w:color="auto"/>
            </w:tcBorders>
            <w:shd w:val="clear" w:color="000000" w:fill="BFBFBF"/>
            <w:noWrap/>
            <w:vAlign w:val="bottom"/>
            <w:hideMark/>
          </w:tcPr>
          <w:p w:rsidR="004B04E6" w:rsidRPr="001B4B14" w:rsidRDefault="004B04E6" w:rsidP="00796562">
            <w:pPr>
              <w:spacing w:after="0" w:line="240" w:lineRule="auto"/>
              <w:rPr>
                <w:rFonts w:ascii="Arial Narrow" w:eastAsia="Times New Roman" w:hAnsi="Arial Narrow" w:cs="Calibri"/>
                <w:b/>
                <w:bCs/>
                <w:sz w:val="24"/>
                <w:szCs w:val="24"/>
                <w:lang w:eastAsia="es-CO"/>
              </w:rPr>
            </w:pPr>
            <w:r w:rsidRPr="001B4B14">
              <w:rPr>
                <w:rFonts w:ascii="Arial Narrow" w:eastAsia="Times New Roman" w:hAnsi="Arial Narrow" w:cs="Calibri"/>
                <w:b/>
                <w:bCs/>
                <w:sz w:val="24"/>
                <w:szCs w:val="24"/>
                <w:lang w:eastAsia="es-CO"/>
              </w:rPr>
              <w:t>Subtotal</w:t>
            </w:r>
          </w:p>
        </w:tc>
        <w:tc>
          <w:tcPr>
            <w:tcW w:w="929" w:type="pct"/>
            <w:tcBorders>
              <w:top w:val="nil"/>
              <w:left w:val="nil"/>
              <w:bottom w:val="single" w:sz="4" w:space="0" w:color="auto"/>
              <w:right w:val="single" w:sz="4" w:space="0" w:color="auto"/>
            </w:tcBorders>
            <w:shd w:val="clear" w:color="000000" w:fill="BFBFBF"/>
            <w:noWrap/>
            <w:vAlign w:val="bottom"/>
            <w:hideMark/>
          </w:tcPr>
          <w:p w:rsidR="004B04E6" w:rsidRPr="001B4B14" w:rsidRDefault="004B04E6" w:rsidP="00796562">
            <w:pPr>
              <w:spacing w:after="0" w:line="240" w:lineRule="auto"/>
              <w:jc w:val="center"/>
              <w:rPr>
                <w:rFonts w:ascii="Arial Narrow" w:eastAsia="Times New Roman" w:hAnsi="Arial Narrow" w:cs="Calibri"/>
                <w:b/>
                <w:bCs/>
                <w:sz w:val="24"/>
                <w:szCs w:val="24"/>
                <w:lang w:eastAsia="es-CO"/>
              </w:rPr>
            </w:pPr>
          </w:p>
        </w:tc>
        <w:tc>
          <w:tcPr>
            <w:tcW w:w="1193" w:type="pct"/>
            <w:tcBorders>
              <w:top w:val="nil"/>
              <w:left w:val="nil"/>
              <w:bottom w:val="single" w:sz="4" w:space="0" w:color="auto"/>
              <w:right w:val="single" w:sz="4" w:space="0" w:color="auto"/>
            </w:tcBorders>
            <w:shd w:val="clear" w:color="000000" w:fill="BFBFBF"/>
            <w:noWrap/>
            <w:vAlign w:val="bottom"/>
            <w:hideMark/>
          </w:tcPr>
          <w:p w:rsidR="004B04E6" w:rsidRPr="001B4B14" w:rsidRDefault="004B04E6" w:rsidP="00796562">
            <w:pPr>
              <w:spacing w:after="0" w:line="240" w:lineRule="auto"/>
              <w:jc w:val="center"/>
              <w:rPr>
                <w:rFonts w:ascii="Arial Narrow" w:eastAsia="Times New Roman" w:hAnsi="Arial Narrow" w:cs="Calibri"/>
                <w:b/>
                <w:bCs/>
                <w:sz w:val="24"/>
                <w:szCs w:val="24"/>
                <w:lang w:eastAsia="es-CO"/>
              </w:rPr>
            </w:pPr>
            <w:r w:rsidRPr="001B4B14">
              <w:rPr>
                <w:rFonts w:ascii="Arial Narrow" w:eastAsia="Times New Roman" w:hAnsi="Arial Narrow" w:cs="Calibri"/>
                <w:b/>
                <w:bCs/>
                <w:sz w:val="24"/>
                <w:szCs w:val="24"/>
                <w:lang w:eastAsia="es-CO"/>
              </w:rPr>
              <w:t>472,500</w:t>
            </w:r>
          </w:p>
        </w:tc>
        <w:tc>
          <w:tcPr>
            <w:tcW w:w="915" w:type="pct"/>
            <w:tcBorders>
              <w:top w:val="nil"/>
              <w:left w:val="nil"/>
              <w:bottom w:val="single" w:sz="4" w:space="0" w:color="auto"/>
              <w:right w:val="single" w:sz="4" w:space="0" w:color="auto"/>
            </w:tcBorders>
            <w:shd w:val="clear" w:color="000000" w:fill="BFBFBF"/>
            <w:noWrap/>
            <w:vAlign w:val="bottom"/>
            <w:hideMark/>
          </w:tcPr>
          <w:p w:rsidR="004B04E6" w:rsidRPr="001B4B14" w:rsidRDefault="004B04E6" w:rsidP="00796562">
            <w:pPr>
              <w:spacing w:after="0" w:line="240" w:lineRule="auto"/>
              <w:jc w:val="center"/>
              <w:rPr>
                <w:rFonts w:ascii="Arial Narrow" w:eastAsia="Times New Roman" w:hAnsi="Arial Narrow" w:cs="Calibri"/>
                <w:b/>
                <w:bCs/>
                <w:sz w:val="24"/>
                <w:szCs w:val="24"/>
                <w:lang w:eastAsia="es-CO"/>
              </w:rPr>
            </w:pPr>
          </w:p>
        </w:tc>
      </w:tr>
      <w:tr w:rsidR="004B04E6" w:rsidRPr="001B4B14" w:rsidTr="00796562">
        <w:trPr>
          <w:trHeight w:val="300"/>
        </w:trPr>
        <w:tc>
          <w:tcPr>
            <w:tcW w:w="1963" w:type="pct"/>
            <w:tcBorders>
              <w:top w:val="nil"/>
              <w:left w:val="single" w:sz="4" w:space="0" w:color="auto"/>
              <w:bottom w:val="single" w:sz="4" w:space="0" w:color="auto"/>
              <w:right w:val="single" w:sz="4" w:space="0" w:color="auto"/>
            </w:tcBorders>
            <w:shd w:val="clear" w:color="000000" w:fill="BFBFBF"/>
            <w:noWrap/>
            <w:vAlign w:val="bottom"/>
            <w:hideMark/>
          </w:tcPr>
          <w:p w:rsidR="004B04E6" w:rsidRPr="001B4B14" w:rsidRDefault="004B04E6" w:rsidP="00796562">
            <w:pPr>
              <w:spacing w:after="0" w:line="240" w:lineRule="auto"/>
              <w:rPr>
                <w:rFonts w:ascii="Arial Narrow" w:eastAsia="Times New Roman" w:hAnsi="Arial Narrow" w:cs="Calibri"/>
                <w:b/>
                <w:bCs/>
                <w:sz w:val="24"/>
                <w:szCs w:val="24"/>
                <w:lang w:eastAsia="es-CO"/>
              </w:rPr>
            </w:pPr>
            <w:r w:rsidRPr="001B4B14">
              <w:rPr>
                <w:rFonts w:ascii="Arial Narrow" w:eastAsia="Times New Roman" w:hAnsi="Arial Narrow" w:cs="Calibri"/>
                <w:b/>
                <w:bCs/>
                <w:sz w:val="24"/>
                <w:szCs w:val="24"/>
                <w:lang w:eastAsia="es-CO"/>
              </w:rPr>
              <w:t>Saldo Por Distribuir</w:t>
            </w:r>
          </w:p>
        </w:tc>
        <w:tc>
          <w:tcPr>
            <w:tcW w:w="929" w:type="pct"/>
            <w:tcBorders>
              <w:top w:val="nil"/>
              <w:left w:val="nil"/>
              <w:bottom w:val="single" w:sz="4" w:space="0" w:color="auto"/>
              <w:right w:val="single" w:sz="4" w:space="0" w:color="auto"/>
            </w:tcBorders>
            <w:shd w:val="clear" w:color="000000" w:fill="BFBFBF"/>
            <w:noWrap/>
            <w:vAlign w:val="bottom"/>
            <w:hideMark/>
          </w:tcPr>
          <w:p w:rsidR="004B04E6" w:rsidRPr="001B4B14" w:rsidRDefault="004B04E6" w:rsidP="00796562">
            <w:pPr>
              <w:spacing w:after="0" w:line="240" w:lineRule="auto"/>
              <w:jc w:val="center"/>
              <w:rPr>
                <w:rFonts w:ascii="Arial Narrow" w:eastAsia="Times New Roman" w:hAnsi="Arial Narrow" w:cs="Calibri"/>
                <w:b/>
                <w:bCs/>
                <w:sz w:val="24"/>
                <w:szCs w:val="24"/>
                <w:lang w:eastAsia="es-CO"/>
              </w:rPr>
            </w:pPr>
          </w:p>
        </w:tc>
        <w:tc>
          <w:tcPr>
            <w:tcW w:w="1193" w:type="pct"/>
            <w:tcBorders>
              <w:top w:val="nil"/>
              <w:left w:val="nil"/>
              <w:bottom w:val="single" w:sz="4" w:space="0" w:color="auto"/>
              <w:right w:val="single" w:sz="4" w:space="0" w:color="auto"/>
            </w:tcBorders>
            <w:shd w:val="clear" w:color="000000" w:fill="BFBFBF"/>
            <w:noWrap/>
            <w:vAlign w:val="bottom"/>
            <w:hideMark/>
          </w:tcPr>
          <w:p w:rsidR="004B04E6" w:rsidRPr="001B4B14" w:rsidRDefault="004B04E6" w:rsidP="00796562">
            <w:pPr>
              <w:spacing w:after="0" w:line="240" w:lineRule="auto"/>
              <w:jc w:val="center"/>
              <w:rPr>
                <w:rFonts w:ascii="Arial Narrow" w:eastAsia="Times New Roman" w:hAnsi="Arial Narrow" w:cs="Calibri"/>
                <w:b/>
                <w:bCs/>
                <w:sz w:val="24"/>
                <w:szCs w:val="24"/>
                <w:lang w:eastAsia="es-CO"/>
              </w:rPr>
            </w:pPr>
            <w:r w:rsidRPr="001B4B14">
              <w:rPr>
                <w:rFonts w:ascii="Arial Narrow" w:eastAsia="Times New Roman" w:hAnsi="Arial Narrow" w:cs="Calibri"/>
                <w:b/>
                <w:bCs/>
                <w:sz w:val="24"/>
                <w:szCs w:val="24"/>
                <w:lang w:eastAsia="es-CO"/>
              </w:rPr>
              <w:t>472,500</w:t>
            </w:r>
          </w:p>
        </w:tc>
        <w:tc>
          <w:tcPr>
            <w:tcW w:w="915" w:type="pct"/>
            <w:tcBorders>
              <w:top w:val="nil"/>
              <w:left w:val="nil"/>
              <w:bottom w:val="single" w:sz="4" w:space="0" w:color="auto"/>
              <w:right w:val="single" w:sz="4" w:space="0" w:color="auto"/>
            </w:tcBorders>
            <w:shd w:val="clear" w:color="000000" w:fill="BFBFBF"/>
            <w:noWrap/>
            <w:vAlign w:val="bottom"/>
            <w:hideMark/>
          </w:tcPr>
          <w:p w:rsidR="004B04E6" w:rsidRPr="001B4B14" w:rsidRDefault="004B04E6" w:rsidP="00796562">
            <w:pPr>
              <w:spacing w:after="0" w:line="240" w:lineRule="auto"/>
              <w:jc w:val="center"/>
              <w:rPr>
                <w:rFonts w:ascii="Arial Narrow" w:eastAsia="Times New Roman" w:hAnsi="Arial Narrow" w:cs="Calibri"/>
                <w:b/>
                <w:bCs/>
                <w:sz w:val="24"/>
                <w:szCs w:val="24"/>
                <w:lang w:eastAsia="es-CO"/>
              </w:rPr>
            </w:pPr>
          </w:p>
        </w:tc>
      </w:tr>
      <w:tr w:rsidR="004B04E6" w:rsidRPr="001B4B14" w:rsidTr="00796562">
        <w:trPr>
          <w:trHeight w:val="225"/>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 </w:t>
            </w:r>
          </w:p>
        </w:tc>
        <w:tc>
          <w:tcPr>
            <w:tcW w:w="929"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4"/>
                <w:szCs w:val="24"/>
                <w:lang w:eastAsia="es-CO"/>
              </w:rPr>
            </w:pPr>
          </w:p>
        </w:tc>
        <w:tc>
          <w:tcPr>
            <w:tcW w:w="1193"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4"/>
                <w:szCs w:val="24"/>
                <w:lang w:eastAsia="es-CO"/>
              </w:rPr>
            </w:pPr>
          </w:p>
        </w:tc>
        <w:tc>
          <w:tcPr>
            <w:tcW w:w="915"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4"/>
                <w:szCs w:val="24"/>
                <w:lang w:eastAsia="es-CO"/>
              </w:rPr>
            </w:pPr>
          </w:p>
        </w:tc>
      </w:tr>
      <w:tr w:rsidR="004B04E6" w:rsidRPr="001B4B14" w:rsidTr="00796562">
        <w:trPr>
          <w:trHeight w:val="225"/>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Asignaciones Directas</w:t>
            </w:r>
          </w:p>
        </w:tc>
        <w:tc>
          <w:tcPr>
            <w:tcW w:w="929"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20.00%</w:t>
            </w:r>
          </w:p>
        </w:tc>
        <w:tc>
          <w:tcPr>
            <w:tcW w:w="1193"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94,500</w:t>
            </w:r>
          </w:p>
        </w:tc>
        <w:tc>
          <w:tcPr>
            <w:tcW w:w="915"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9.45%</w:t>
            </w:r>
          </w:p>
        </w:tc>
      </w:tr>
      <w:tr w:rsidR="004B04E6" w:rsidRPr="001B4B14" w:rsidTr="00796562">
        <w:trPr>
          <w:trHeight w:val="300"/>
        </w:trPr>
        <w:tc>
          <w:tcPr>
            <w:tcW w:w="1963" w:type="pct"/>
            <w:tcBorders>
              <w:top w:val="nil"/>
              <w:left w:val="single" w:sz="4" w:space="0" w:color="auto"/>
              <w:bottom w:val="single" w:sz="4" w:space="0" w:color="auto"/>
              <w:right w:val="single" w:sz="4" w:space="0" w:color="auto"/>
            </w:tcBorders>
            <w:shd w:val="clear" w:color="000000" w:fill="BFBFBF"/>
            <w:noWrap/>
            <w:vAlign w:val="bottom"/>
            <w:hideMark/>
          </w:tcPr>
          <w:p w:rsidR="004B04E6" w:rsidRPr="001B4B14" w:rsidRDefault="004B04E6" w:rsidP="00796562">
            <w:pPr>
              <w:spacing w:after="0" w:line="240" w:lineRule="auto"/>
              <w:rPr>
                <w:rFonts w:ascii="Arial Narrow" w:eastAsia="Times New Roman" w:hAnsi="Arial Narrow" w:cs="Calibri"/>
                <w:b/>
                <w:bCs/>
                <w:sz w:val="24"/>
                <w:szCs w:val="24"/>
                <w:lang w:eastAsia="es-CO"/>
              </w:rPr>
            </w:pPr>
            <w:r w:rsidRPr="001B4B14">
              <w:rPr>
                <w:rFonts w:ascii="Arial Narrow" w:eastAsia="Times New Roman" w:hAnsi="Arial Narrow" w:cs="Calibri"/>
                <w:b/>
                <w:bCs/>
                <w:sz w:val="24"/>
                <w:szCs w:val="24"/>
                <w:lang w:eastAsia="es-CO"/>
              </w:rPr>
              <w:t>Saldo Por Distribuir</w:t>
            </w:r>
          </w:p>
        </w:tc>
        <w:tc>
          <w:tcPr>
            <w:tcW w:w="929" w:type="pct"/>
            <w:tcBorders>
              <w:top w:val="nil"/>
              <w:left w:val="nil"/>
              <w:bottom w:val="single" w:sz="4" w:space="0" w:color="auto"/>
              <w:right w:val="single" w:sz="4" w:space="0" w:color="auto"/>
            </w:tcBorders>
            <w:shd w:val="clear" w:color="000000" w:fill="BFBFBF"/>
            <w:noWrap/>
            <w:vAlign w:val="bottom"/>
            <w:hideMark/>
          </w:tcPr>
          <w:p w:rsidR="004B04E6" w:rsidRPr="001B4B14" w:rsidRDefault="004B04E6" w:rsidP="00796562">
            <w:pPr>
              <w:spacing w:after="0" w:line="240" w:lineRule="auto"/>
              <w:jc w:val="center"/>
              <w:rPr>
                <w:rFonts w:ascii="Arial Narrow" w:eastAsia="Times New Roman" w:hAnsi="Arial Narrow" w:cs="Calibri"/>
                <w:b/>
                <w:bCs/>
                <w:sz w:val="24"/>
                <w:szCs w:val="24"/>
                <w:lang w:eastAsia="es-CO"/>
              </w:rPr>
            </w:pPr>
            <w:r w:rsidRPr="001B4B14">
              <w:rPr>
                <w:rFonts w:ascii="Arial Narrow" w:eastAsia="Times New Roman" w:hAnsi="Arial Narrow" w:cs="Calibri"/>
                <w:b/>
                <w:bCs/>
                <w:sz w:val="24"/>
                <w:szCs w:val="24"/>
                <w:lang w:eastAsia="es-CO"/>
              </w:rPr>
              <w:t>80.00%</w:t>
            </w:r>
          </w:p>
        </w:tc>
        <w:tc>
          <w:tcPr>
            <w:tcW w:w="1193" w:type="pct"/>
            <w:tcBorders>
              <w:top w:val="nil"/>
              <w:left w:val="nil"/>
              <w:bottom w:val="single" w:sz="4" w:space="0" w:color="auto"/>
              <w:right w:val="single" w:sz="4" w:space="0" w:color="auto"/>
            </w:tcBorders>
            <w:shd w:val="clear" w:color="000000" w:fill="BFBFBF"/>
            <w:noWrap/>
            <w:vAlign w:val="bottom"/>
            <w:hideMark/>
          </w:tcPr>
          <w:p w:rsidR="004B04E6" w:rsidRPr="001B4B14" w:rsidRDefault="004B04E6" w:rsidP="00796562">
            <w:pPr>
              <w:spacing w:after="0" w:line="240" w:lineRule="auto"/>
              <w:jc w:val="center"/>
              <w:rPr>
                <w:rFonts w:ascii="Arial Narrow" w:eastAsia="Times New Roman" w:hAnsi="Arial Narrow" w:cs="Calibri"/>
                <w:b/>
                <w:bCs/>
                <w:sz w:val="24"/>
                <w:szCs w:val="24"/>
                <w:lang w:eastAsia="es-CO"/>
              </w:rPr>
            </w:pPr>
            <w:r w:rsidRPr="001B4B14">
              <w:rPr>
                <w:rFonts w:ascii="Arial Narrow" w:eastAsia="Times New Roman" w:hAnsi="Arial Narrow" w:cs="Calibri"/>
                <w:b/>
                <w:bCs/>
                <w:sz w:val="24"/>
                <w:szCs w:val="24"/>
                <w:lang w:eastAsia="es-CO"/>
              </w:rPr>
              <w:t>378,000</w:t>
            </w:r>
          </w:p>
        </w:tc>
        <w:tc>
          <w:tcPr>
            <w:tcW w:w="915" w:type="pct"/>
            <w:tcBorders>
              <w:top w:val="nil"/>
              <w:left w:val="nil"/>
              <w:bottom w:val="single" w:sz="4" w:space="0" w:color="auto"/>
              <w:right w:val="single" w:sz="4" w:space="0" w:color="auto"/>
            </w:tcBorders>
            <w:shd w:val="clear" w:color="000000" w:fill="BFBFBF"/>
            <w:noWrap/>
            <w:vAlign w:val="bottom"/>
            <w:hideMark/>
          </w:tcPr>
          <w:p w:rsidR="004B04E6" w:rsidRPr="001B4B14" w:rsidRDefault="004B04E6" w:rsidP="00796562">
            <w:pPr>
              <w:spacing w:after="0" w:line="240" w:lineRule="auto"/>
              <w:jc w:val="center"/>
              <w:rPr>
                <w:rFonts w:ascii="Arial Narrow" w:eastAsia="Times New Roman" w:hAnsi="Arial Narrow" w:cs="Calibri"/>
                <w:b/>
                <w:bCs/>
                <w:sz w:val="24"/>
                <w:szCs w:val="24"/>
                <w:lang w:eastAsia="es-CO"/>
              </w:rPr>
            </w:pPr>
            <w:r w:rsidRPr="001B4B14">
              <w:rPr>
                <w:rFonts w:ascii="Arial Narrow" w:eastAsia="Times New Roman" w:hAnsi="Arial Narrow" w:cs="Calibri"/>
                <w:b/>
                <w:bCs/>
                <w:sz w:val="24"/>
                <w:szCs w:val="24"/>
                <w:lang w:eastAsia="es-CO"/>
              </w:rPr>
              <w:t>37.80%</w:t>
            </w:r>
          </w:p>
        </w:tc>
      </w:tr>
      <w:tr w:rsidR="004B04E6" w:rsidRPr="001B4B14" w:rsidTr="00796562">
        <w:trPr>
          <w:trHeight w:val="225"/>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 </w:t>
            </w:r>
          </w:p>
        </w:tc>
        <w:tc>
          <w:tcPr>
            <w:tcW w:w="929"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4"/>
                <w:szCs w:val="24"/>
                <w:lang w:eastAsia="es-CO"/>
              </w:rPr>
            </w:pPr>
          </w:p>
        </w:tc>
        <w:tc>
          <w:tcPr>
            <w:tcW w:w="1193"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4"/>
                <w:szCs w:val="24"/>
                <w:lang w:eastAsia="es-CO"/>
              </w:rPr>
            </w:pPr>
          </w:p>
        </w:tc>
        <w:tc>
          <w:tcPr>
            <w:tcW w:w="915"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4"/>
                <w:szCs w:val="24"/>
                <w:lang w:eastAsia="es-CO"/>
              </w:rPr>
            </w:pPr>
          </w:p>
        </w:tc>
      </w:tr>
      <w:tr w:rsidR="004B04E6" w:rsidRPr="001B4B14" w:rsidTr="00796562">
        <w:trPr>
          <w:trHeight w:val="225"/>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FCR</w:t>
            </w:r>
          </w:p>
        </w:tc>
        <w:tc>
          <w:tcPr>
            <w:tcW w:w="929"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60.00%</w:t>
            </w:r>
          </w:p>
        </w:tc>
        <w:tc>
          <w:tcPr>
            <w:tcW w:w="1193"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226,800</w:t>
            </w:r>
          </w:p>
        </w:tc>
        <w:tc>
          <w:tcPr>
            <w:tcW w:w="915"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22.68%</w:t>
            </w:r>
          </w:p>
        </w:tc>
      </w:tr>
      <w:tr w:rsidR="004B04E6" w:rsidRPr="001B4B14" w:rsidTr="00796562">
        <w:trPr>
          <w:trHeight w:val="225"/>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FDR</w:t>
            </w:r>
          </w:p>
        </w:tc>
        <w:tc>
          <w:tcPr>
            <w:tcW w:w="929"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40.00%</w:t>
            </w:r>
          </w:p>
        </w:tc>
        <w:tc>
          <w:tcPr>
            <w:tcW w:w="1193"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151,200</w:t>
            </w:r>
          </w:p>
        </w:tc>
        <w:tc>
          <w:tcPr>
            <w:tcW w:w="915"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sz w:val="24"/>
                <w:szCs w:val="24"/>
                <w:lang w:eastAsia="es-CO"/>
              </w:rPr>
            </w:pPr>
            <w:r w:rsidRPr="001B4B14">
              <w:rPr>
                <w:rFonts w:ascii="Arial Narrow" w:eastAsia="Times New Roman" w:hAnsi="Arial Narrow" w:cs="Calibri"/>
                <w:sz w:val="24"/>
                <w:szCs w:val="24"/>
                <w:lang w:eastAsia="es-CO"/>
              </w:rPr>
              <w:t>15.12%</w:t>
            </w:r>
          </w:p>
        </w:tc>
      </w:tr>
      <w:tr w:rsidR="004B04E6" w:rsidRPr="001B4B14" w:rsidTr="00796562">
        <w:trPr>
          <w:trHeight w:val="300"/>
        </w:trPr>
        <w:tc>
          <w:tcPr>
            <w:tcW w:w="1963" w:type="pct"/>
            <w:tcBorders>
              <w:top w:val="nil"/>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Calibri"/>
                <w:b/>
                <w:bCs/>
                <w:sz w:val="24"/>
                <w:szCs w:val="24"/>
                <w:lang w:eastAsia="es-CO"/>
              </w:rPr>
            </w:pPr>
            <w:r w:rsidRPr="001B4B14">
              <w:rPr>
                <w:rFonts w:ascii="Arial Narrow" w:eastAsia="Times New Roman" w:hAnsi="Arial Narrow" w:cs="Calibri"/>
                <w:b/>
                <w:bCs/>
                <w:sz w:val="24"/>
                <w:szCs w:val="24"/>
                <w:lang w:eastAsia="es-CO"/>
              </w:rPr>
              <w:t>TOTAL</w:t>
            </w:r>
          </w:p>
        </w:tc>
        <w:tc>
          <w:tcPr>
            <w:tcW w:w="929"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sz w:val="24"/>
                <w:szCs w:val="24"/>
                <w:lang w:eastAsia="es-CO"/>
              </w:rPr>
            </w:pPr>
          </w:p>
        </w:tc>
        <w:tc>
          <w:tcPr>
            <w:tcW w:w="1193"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sz w:val="24"/>
                <w:szCs w:val="24"/>
                <w:lang w:eastAsia="es-CO"/>
              </w:rPr>
            </w:pPr>
            <w:r w:rsidRPr="001B4B14">
              <w:rPr>
                <w:rFonts w:ascii="Arial Narrow" w:eastAsia="Times New Roman" w:hAnsi="Arial Narrow" w:cs="Calibri"/>
                <w:b/>
                <w:bCs/>
                <w:sz w:val="24"/>
                <w:szCs w:val="24"/>
                <w:lang w:eastAsia="es-CO"/>
              </w:rPr>
              <w:t>1,000,000</w:t>
            </w:r>
          </w:p>
        </w:tc>
        <w:tc>
          <w:tcPr>
            <w:tcW w:w="915"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sz w:val="24"/>
                <w:szCs w:val="24"/>
                <w:lang w:eastAsia="es-CO"/>
              </w:rPr>
            </w:pPr>
            <w:r w:rsidRPr="001B4B14">
              <w:rPr>
                <w:rFonts w:ascii="Arial Narrow" w:eastAsia="Times New Roman" w:hAnsi="Arial Narrow" w:cs="Calibri"/>
                <w:b/>
                <w:bCs/>
                <w:sz w:val="24"/>
                <w:szCs w:val="24"/>
                <w:lang w:eastAsia="es-CO"/>
              </w:rPr>
              <w:t>100.00%</w:t>
            </w:r>
          </w:p>
        </w:tc>
      </w:tr>
    </w:tbl>
    <w:p w:rsidR="004B04E6" w:rsidRDefault="004B04E6" w:rsidP="004B04E6">
      <w:pPr>
        <w:pStyle w:val="NormalWeb"/>
        <w:spacing w:before="0" w:beforeAutospacing="0" w:after="0" w:afterAutospacing="0"/>
        <w:jc w:val="both"/>
        <w:rPr>
          <w:rFonts w:ascii="Arial Narrow" w:hAnsi="Arial Narrow"/>
        </w:rPr>
      </w:pPr>
      <w:r w:rsidRPr="001B4B14">
        <w:rPr>
          <w:rFonts w:ascii="Arial Narrow" w:hAnsi="Arial Narrow"/>
        </w:rPr>
        <w:t>Fuente: Acto Legislativo 05/2011 y Cálculos Propios</w:t>
      </w:r>
    </w:p>
    <w:p w:rsidR="004B04E6" w:rsidRDefault="004B04E6" w:rsidP="004B04E6">
      <w:pPr>
        <w:pStyle w:val="NormalWeb"/>
        <w:spacing w:before="0" w:beforeAutospacing="0" w:after="0" w:afterAutospacing="0"/>
        <w:jc w:val="both"/>
        <w:rPr>
          <w:rFonts w:ascii="Arial Narrow" w:hAnsi="Arial Narrow"/>
        </w:rPr>
      </w:pPr>
    </w:p>
    <w:p w:rsidR="004B04E6" w:rsidRPr="001B4B14" w:rsidRDefault="004B04E6" w:rsidP="004B04E6">
      <w:pPr>
        <w:pStyle w:val="NormalWeb"/>
        <w:spacing w:before="0" w:beforeAutospacing="0" w:after="0" w:afterAutospacing="0"/>
        <w:jc w:val="both"/>
        <w:rPr>
          <w:rFonts w:ascii="Arial Narrow" w:hAnsi="Arial Narrow"/>
        </w:rPr>
      </w:pPr>
    </w:p>
    <w:p w:rsidR="004B04E6" w:rsidRDefault="004B04E6" w:rsidP="004B04E6">
      <w:pPr>
        <w:pStyle w:val="NormalWeb"/>
        <w:spacing w:before="0" w:beforeAutospacing="0" w:after="0" w:afterAutospacing="0"/>
        <w:jc w:val="both"/>
        <w:rPr>
          <w:rFonts w:ascii="Arial Narrow" w:hAnsi="Arial Narrow" w:cs="Arial"/>
        </w:rPr>
      </w:pPr>
    </w:p>
    <w:p w:rsidR="004B04E6" w:rsidRPr="001B4B14" w:rsidRDefault="004B04E6" w:rsidP="004B04E6">
      <w:pPr>
        <w:pStyle w:val="NormalWeb"/>
        <w:spacing w:before="0" w:beforeAutospacing="0" w:after="0" w:afterAutospacing="0"/>
        <w:jc w:val="both"/>
        <w:rPr>
          <w:rFonts w:ascii="Arial Narrow" w:hAnsi="Arial Narrow" w:cs="Arial"/>
        </w:rPr>
      </w:pPr>
      <w:r w:rsidRPr="001B4B14">
        <w:rPr>
          <w:rFonts w:ascii="Arial Narrow" w:hAnsi="Arial Narrow" w:cs="Arial"/>
        </w:rPr>
        <w:t>Realizando los cálculos correspondientes con un ejercicio netamente académico y asignando la suma de UN MILLÓN DE PESOS ($1,000,000) a la distribución taxativa aprobada por el Acto Legislativo 05 de 2011, se observa que los primeros cuatro componentes (Fiscalización, SMSCE, Funcionamiento y Asignación a municipios ribereños) son los únicos que permanecen con el porcentaje inicial asignado; los demás por tratarse de una distribución residual cambian su participación inicial frente a la definitiva si se comprara cada una con el gran total de lo presupuestado. De acuerdo a lo anterior, a las Asignaciones Directas se les apropia realmente un 9.45% del total, cifra que deberá ser distribuida entre las entidades denominadas productoras de hidrocarburos y minería y la Corporaciones Autónomas Regionales. En ese sentido, cuando en los medios de comunicación se habla de que a los productores les corresponde el 20%, el grueso de la población asume que es el 20% del total de las regalías y en realidad no alcanza ni a la mitad de esa cifra.</w:t>
      </w:r>
    </w:p>
    <w:p w:rsidR="004B04E6" w:rsidRPr="001B4B14" w:rsidRDefault="004B04E6" w:rsidP="004B04E6">
      <w:pPr>
        <w:autoSpaceDE w:val="0"/>
        <w:autoSpaceDN w:val="0"/>
        <w:adjustRightInd w:val="0"/>
        <w:spacing w:after="0" w:line="240" w:lineRule="auto"/>
        <w:jc w:val="both"/>
        <w:rPr>
          <w:rFonts w:ascii="Arial Narrow" w:hAnsi="Arial Narrow" w:cs="Arial Narrow"/>
          <w:sz w:val="24"/>
          <w:szCs w:val="24"/>
        </w:rPr>
      </w:pPr>
      <w:r w:rsidRPr="001B4B14">
        <w:rPr>
          <w:rFonts w:ascii="Arial Narrow" w:hAnsi="Arial Narrow" w:cs="Arial Narrow"/>
          <w:sz w:val="24"/>
          <w:szCs w:val="24"/>
        </w:rPr>
        <w:t>El mensaje presidencial de equidad del Presidente Santos en el año 2010, no contempló la inequidad hacia las regiones productoras toda vez que son éstas las que tienen que lidiar con los problemas medioambientales, protestas sociales por falta de empleo, falta de adquisición de bienes y servicios a los empresarios de la región, desplazamiento exagerado de personas a partir de la bonanza petrolera a las cabeceras  lo que hace más fuerte la demanda de bienes y servicios como vivienda, salud, educación, vías, electrificación etc., pero en contradicción, el abandono de la zona rural entre otros.</w:t>
      </w:r>
    </w:p>
    <w:p w:rsidR="004B04E6" w:rsidRDefault="004B04E6" w:rsidP="004B04E6">
      <w:pPr>
        <w:autoSpaceDE w:val="0"/>
        <w:autoSpaceDN w:val="0"/>
        <w:adjustRightInd w:val="0"/>
        <w:spacing w:after="0" w:line="240" w:lineRule="auto"/>
        <w:jc w:val="both"/>
        <w:rPr>
          <w:rFonts w:ascii="Arial Narrow" w:hAnsi="Arial Narrow" w:cs="Arial Narrow"/>
          <w:sz w:val="24"/>
          <w:szCs w:val="24"/>
        </w:rPr>
      </w:pPr>
    </w:p>
    <w:p w:rsidR="004B04E6" w:rsidRDefault="004B04E6" w:rsidP="004B04E6">
      <w:pPr>
        <w:autoSpaceDE w:val="0"/>
        <w:autoSpaceDN w:val="0"/>
        <w:adjustRightInd w:val="0"/>
        <w:spacing w:after="0" w:line="240" w:lineRule="auto"/>
        <w:jc w:val="both"/>
        <w:rPr>
          <w:rFonts w:ascii="Arial Narrow" w:hAnsi="Arial Narrow" w:cs="Arial Narrow"/>
          <w:sz w:val="24"/>
          <w:szCs w:val="24"/>
        </w:rPr>
      </w:pPr>
    </w:p>
    <w:p w:rsidR="004B04E6" w:rsidRPr="001B4B14" w:rsidRDefault="004B04E6" w:rsidP="004B04E6">
      <w:pPr>
        <w:autoSpaceDE w:val="0"/>
        <w:autoSpaceDN w:val="0"/>
        <w:adjustRightInd w:val="0"/>
        <w:spacing w:after="0" w:line="240" w:lineRule="auto"/>
        <w:jc w:val="both"/>
        <w:rPr>
          <w:rFonts w:ascii="Arial Narrow" w:hAnsi="Arial Narrow" w:cs="Arial Narrow"/>
          <w:sz w:val="24"/>
          <w:szCs w:val="24"/>
        </w:rPr>
      </w:pPr>
    </w:p>
    <w:p w:rsidR="004B04E6" w:rsidRPr="001B4B14" w:rsidRDefault="004B04E6" w:rsidP="004B04E6">
      <w:pPr>
        <w:autoSpaceDE w:val="0"/>
        <w:autoSpaceDN w:val="0"/>
        <w:adjustRightInd w:val="0"/>
        <w:spacing w:after="0" w:line="240" w:lineRule="auto"/>
        <w:jc w:val="both"/>
        <w:rPr>
          <w:rFonts w:ascii="Arial Narrow" w:hAnsi="Arial Narrow" w:cs="Arial Narrow"/>
          <w:sz w:val="24"/>
          <w:szCs w:val="24"/>
        </w:rPr>
      </w:pPr>
      <w:r w:rsidRPr="001B4B14">
        <w:rPr>
          <w:rFonts w:ascii="Arial Narrow" w:hAnsi="Arial Narrow" w:cs="Arial Narrow"/>
          <w:b/>
          <w:sz w:val="24"/>
          <w:szCs w:val="24"/>
        </w:rPr>
        <w:t>Tabla No 5. Asignación Regalías Directas</w:t>
      </w:r>
      <w:r w:rsidRPr="001B4B14">
        <w:rPr>
          <w:rFonts w:ascii="Arial Narrow" w:hAnsi="Arial Narrow" w:cs="Arial Narrow"/>
          <w:sz w:val="24"/>
          <w:szCs w:val="24"/>
        </w:rPr>
        <w:t xml:space="preserve"> </w:t>
      </w:r>
    </w:p>
    <w:tbl>
      <w:tblPr>
        <w:tblW w:w="5000" w:type="pct"/>
        <w:tblCellMar>
          <w:left w:w="70" w:type="dxa"/>
          <w:right w:w="70" w:type="dxa"/>
        </w:tblCellMar>
        <w:tblLook w:val="04A0" w:firstRow="1" w:lastRow="0" w:firstColumn="1" w:lastColumn="0" w:noHBand="0" w:noVBand="1"/>
      </w:tblPr>
      <w:tblGrid>
        <w:gridCol w:w="1023"/>
        <w:gridCol w:w="1312"/>
        <w:gridCol w:w="793"/>
        <w:gridCol w:w="793"/>
        <w:gridCol w:w="793"/>
        <w:gridCol w:w="793"/>
        <w:gridCol w:w="793"/>
        <w:gridCol w:w="1264"/>
        <w:gridCol w:w="1264"/>
      </w:tblGrid>
      <w:tr w:rsidR="004B04E6" w:rsidRPr="001B4B14" w:rsidTr="00796562">
        <w:trPr>
          <w:trHeight w:val="300"/>
        </w:trPr>
        <w:tc>
          <w:tcPr>
            <w:tcW w:w="5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Calibri"/>
                <w:b/>
                <w:bCs/>
                <w:lang w:eastAsia="es-CO"/>
              </w:rPr>
            </w:pPr>
            <w:r w:rsidRPr="001B4B14">
              <w:rPr>
                <w:rFonts w:ascii="Arial Narrow" w:eastAsia="Times New Roman" w:hAnsi="Arial Narrow" w:cs="Calibri"/>
                <w:b/>
                <w:bCs/>
                <w:lang w:eastAsia="es-CO"/>
              </w:rPr>
              <w:t>Entidad</w:t>
            </w:r>
          </w:p>
        </w:tc>
        <w:tc>
          <w:tcPr>
            <w:tcW w:w="814"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2011</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2012</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2013</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2014</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2015</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2016</w:t>
            </w:r>
          </w:p>
        </w:tc>
        <w:tc>
          <w:tcPr>
            <w:tcW w:w="704"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2011 Vs 2012</w:t>
            </w:r>
          </w:p>
        </w:tc>
        <w:tc>
          <w:tcPr>
            <w:tcW w:w="704"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b/>
                <w:bCs/>
                <w:lang w:eastAsia="es-CO"/>
              </w:rPr>
            </w:pPr>
            <w:r w:rsidRPr="001B4B14">
              <w:rPr>
                <w:rFonts w:ascii="Arial Narrow" w:eastAsia="Times New Roman" w:hAnsi="Arial Narrow" w:cs="Calibri"/>
                <w:b/>
                <w:bCs/>
                <w:lang w:eastAsia="es-CO"/>
              </w:rPr>
              <w:t>2011 Vs 2015</w:t>
            </w:r>
          </w:p>
        </w:tc>
      </w:tr>
      <w:tr w:rsidR="004B04E6" w:rsidRPr="001B4B14" w:rsidTr="00796562">
        <w:trPr>
          <w:trHeight w:val="300"/>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Calibri"/>
                <w:b/>
                <w:bCs/>
                <w:lang w:eastAsia="es-CO"/>
              </w:rPr>
            </w:pPr>
            <w:r w:rsidRPr="001B4B14">
              <w:rPr>
                <w:rFonts w:ascii="Arial Narrow" w:eastAsia="Times New Roman" w:hAnsi="Arial Narrow" w:cs="Calibri"/>
                <w:b/>
                <w:bCs/>
                <w:lang w:eastAsia="es-CO"/>
              </w:rPr>
              <w:t>Meta</w:t>
            </w:r>
          </w:p>
        </w:tc>
        <w:tc>
          <w:tcPr>
            <w:tcW w:w="814"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1,339,365</w:t>
            </w:r>
          </w:p>
        </w:tc>
        <w:tc>
          <w:tcPr>
            <w:tcW w:w="44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890,450</w:t>
            </w:r>
          </w:p>
        </w:tc>
        <w:tc>
          <w:tcPr>
            <w:tcW w:w="44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563,895</w:t>
            </w:r>
          </w:p>
        </w:tc>
        <w:tc>
          <w:tcPr>
            <w:tcW w:w="44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563,895</w:t>
            </w:r>
          </w:p>
        </w:tc>
        <w:tc>
          <w:tcPr>
            <w:tcW w:w="44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252,264</w:t>
            </w:r>
          </w:p>
        </w:tc>
        <w:tc>
          <w:tcPr>
            <w:tcW w:w="44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252,264</w:t>
            </w:r>
          </w:p>
        </w:tc>
        <w:tc>
          <w:tcPr>
            <w:tcW w:w="704"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-34%</w:t>
            </w:r>
          </w:p>
        </w:tc>
        <w:tc>
          <w:tcPr>
            <w:tcW w:w="704"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-81%</w:t>
            </w:r>
          </w:p>
        </w:tc>
      </w:tr>
      <w:tr w:rsidR="004B04E6" w:rsidRPr="001B4B14" w:rsidTr="00796562">
        <w:trPr>
          <w:trHeight w:val="300"/>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Calibri"/>
                <w:b/>
                <w:bCs/>
                <w:lang w:eastAsia="es-CO"/>
              </w:rPr>
            </w:pPr>
            <w:r w:rsidRPr="001B4B14">
              <w:rPr>
                <w:rFonts w:ascii="Arial Narrow" w:eastAsia="Times New Roman" w:hAnsi="Arial Narrow" w:cs="Calibri"/>
                <w:b/>
                <w:bCs/>
                <w:lang w:eastAsia="es-CO"/>
              </w:rPr>
              <w:t>Casanare</w:t>
            </w:r>
          </w:p>
        </w:tc>
        <w:tc>
          <w:tcPr>
            <w:tcW w:w="814"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601,356</w:t>
            </w:r>
          </w:p>
        </w:tc>
        <w:tc>
          <w:tcPr>
            <w:tcW w:w="44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397,661</w:t>
            </w:r>
          </w:p>
        </w:tc>
        <w:tc>
          <w:tcPr>
            <w:tcW w:w="44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316,469</w:t>
            </w:r>
          </w:p>
        </w:tc>
        <w:tc>
          <w:tcPr>
            <w:tcW w:w="44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316,469</w:t>
            </w:r>
          </w:p>
        </w:tc>
        <w:tc>
          <w:tcPr>
            <w:tcW w:w="44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79,836</w:t>
            </w:r>
          </w:p>
        </w:tc>
        <w:tc>
          <w:tcPr>
            <w:tcW w:w="44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79,836</w:t>
            </w:r>
          </w:p>
        </w:tc>
        <w:tc>
          <w:tcPr>
            <w:tcW w:w="704"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-34%</w:t>
            </w:r>
          </w:p>
        </w:tc>
        <w:tc>
          <w:tcPr>
            <w:tcW w:w="704"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-87%</w:t>
            </w:r>
          </w:p>
        </w:tc>
      </w:tr>
      <w:tr w:rsidR="004B04E6" w:rsidRPr="001B4B14" w:rsidTr="00796562">
        <w:trPr>
          <w:trHeight w:val="300"/>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Calibri"/>
                <w:b/>
                <w:bCs/>
                <w:lang w:eastAsia="es-CO"/>
              </w:rPr>
            </w:pPr>
            <w:r w:rsidRPr="001B4B14">
              <w:rPr>
                <w:rFonts w:ascii="Arial Narrow" w:eastAsia="Times New Roman" w:hAnsi="Arial Narrow" w:cs="Calibri"/>
                <w:b/>
                <w:bCs/>
                <w:lang w:eastAsia="es-CO"/>
              </w:rPr>
              <w:t>Arauca</w:t>
            </w:r>
          </w:p>
        </w:tc>
        <w:tc>
          <w:tcPr>
            <w:tcW w:w="814"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360,451</w:t>
            </w:r>
          </w:p>
        </w:tc>
        <w:tc>
          <w:tcPr>
            <w:tcW w:w="44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123,449</w:t>
            </w:r>
          </w:p>
        </w:tc>
        <w:tc>
          <w:tcPr>
            <w:tcW w:w="44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96,330</w:t>
            </w:r>
          </w:p>
        </w:tc>
        <w:tc>
          <w:tcPr>
            <w:tcW w:w="44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96,330</w:t>
            </w:r>
          </w:p>
        </w:tc>
        <w:tc>
          <w:tcPr>
            <w:tcW w:w="44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26,976</w:t>
            </w:r>
          </w:p>
        </w:tc>
        <w:tc>
          <w:tcPr>
            <w:tcW w:w="44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26,976</w:t>
            </w:r>
          </w:p>
        </w:tc>
        <w:tc>
          <w:tcPr>
            <w:tcW w:w="704"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-66%</w:t>
            </w:r>
          </w:p>
        </w:tc>
        <w:tc>
          <w:tcPr>
            <w:tcW w:w="704"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-93%</w:t>
            </w:r>
          </w:p>
        </w:tc>
      </w:tr>
      <w:tr w:rsidR="004B04E6" w:rsidRPr="001B4B14" w:rsidTr="00796562">
        <w:trPr>
          <w:trHeight w:val="300"/>
        </w:trPr>
        <w:tc>
          <w:tcPr>
            <w:tcW w:w="5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Calibri"/>
                <w:b/>
                <w:bCs/>
                <w:lang w:eastAsia="es-CO"/>
              </w:rPr>
            </w:pPr>
            <w:r w:rsidRPr="001B4B14">
              <w:rPr>
                <w:rFonts w:ascii="Arial Narrow" w:eastAsia="Times New Roman" w:hAnsi="Arial Narrow" w:cs="Calibri"/>
                <w:b/>
                <w:bCs/>
                <w:lang w:eastAsia="es-CO"/>
              </w:rPr>
              <w:t>Santander</w:t>
            </w:r>
          </w:p>
        </w:tc>
        <w:tc>
          <w:tcPr>
            <w:tcW w:w="8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352,346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133,055</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87,806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87,806</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39,252</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39,252</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-62%</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-89%</w:t>
            </w:r>
          </w:p>
        </w:tc>
      </w:tr>
      <w:tr w:rsidR="004B04E6" w:rsidRPr="001B4B14" w:rsidTr="00796562">
        <w:trPr>
          <w:trHeight w:val="300"/>
        </w:trPr>
        <w:tc>
          <w:tcPr>
            <w:tcW w:w="57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Calibri"/>
                <w:b/>
                <w:bCs/>
                <w:lang w:eastAsia="es-CO"/>
              </w:rPr>
            </w:pPr>
            <w:r w:rsidRPr="001B4B14">
              <w:rPr>
                <w:rFonts w:ascii="Arial Narrow" w:eastAsia="Times New Roman" w:hAnsi="Arial Narrow" w:cs="Calibri"/>
                <w:b/>
                <w:bCs/>
                <w:lang w:eastAsia="es-CO"/>
              </w:rPr>
              <w:t>Huila</w:t>
            </w:r>
          </w:p>
        </w:tc>
        <w:tc>
          <w:tcPr>
            <w:tcW w:w="814"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334,597</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99,572</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67,199</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67,199</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31,146</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31,146</w:t>
            </w:r>
          </w:p>
        </w:tc>
        <w:tc>
          <w:tcPr>
            <w:tcW w:w="704"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-70%</w:t>
            </w:r>
          </w:p>
        </w:tc>
        <w:tc>
          <w:tcPr>
            <w:tcW w:w="704"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-91%</w:t>
            </w:r>
          </w:p>
        </w:tc>
      </w:tr>
      <w:tr w:rsidR="004B04E6" w:rsidRPr="001B4B14" w:rsidTr="00796562">
        <w:trPr>
          <w:trHeight w:val="300"/>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Calibri"/>
                <w:b/>
                <w:bCs/>
                <w:lang w:eastAsia="es-CO"/>
              </w:rPr>
            </w:pPr>
            <w:r w:rsidRPr="001B4B14">
              <w:rPr>
                <w:rFonts w:ascii="Arial Narrow" w:eastAsia="Times New Roman" w:hAnsi="Arial Narrow" w:cs="Calibri"/>
                <w:b/>
                <w:bCs/>
                <w:lang w:eastAsia="es-CO"/>
              </w:rPr>
              <w:t>La Guajira</w:t>
            </w:r>
          </w:p>
        </w:tc>
        <w:tc>
          <w:tcPr>
            <w:tcW w:w="814"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218,262</w:t>
            </w:r>
          </w:p>
        </w:tc>
        <w:tc>
          <w:tcPr>
            <w:tcW w:w="44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328,787</w:t>
            </w:r>
          </w:p>
        </w:tc>
        <w:tc>
          <w:tcPr>
            <w:tcW w:w="44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125,643</w:t>
            </w:r>
          </w:p>
        </w:tc>
        <w:tc>
          <w:tcPr>
            <w:tcW w:w="44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125,643</w:t>
            </w:r>
          </w:p>
        </w:tc>
        <w:tc>
          <w:tcPr>
            <w:tcW w:w="44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41,085</w:t>
            </w:r>
          </w:p>
        </w:tc>
        <w:tc>
          <w:tcPr>
            <w:tcW w:w="44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41,085</w:t>
            </w:r>
          </w:p>
        </w:tc>
        <w:tc>
          <w:tcPr>
            <w:tcW w:w="704"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51%</w:t>
            </w:r>
          </w:p>
        </w:tc>
        <w:tc>
          <w:tcPr>
            <w:tcW w:w="704"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-81%</w:t>
            </w:r>
          </w:p>
        </w:tc>
      </w:tr>
      <w:tr w:rsidR="004B04E6" w:rsidRPr="001B4B14" w:rsidTr="00796562">
        <w:trPr>
          <w:trHeight w:val="300"/>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Calibri"/>
                <w:b/>
                <w:bCs/>
                <w:lang w:eastAsia="es-CO"/>
              </w:rPr>
            </w:pPr>
            <w:r w:rsidRPr="001B4B14">
              <w:rPr>
                <w:rFonts w:ascii="Arial Narrow" w:eastAsia="Times New Roman" w:hAnsi="Arial Narrow" w:cs="Calibri"/>
                <w:b/>
                <w:bCs/>
                <w:lang w:eastAsia="es-CO"/>
              </w:rPr>
              <w:t>Putumayo</w:t>
            </w:r>
          </w:p>
        </w:tc>
        <w:tc>
          <w:tcPr>
            <w:tcW w:w="814"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182,837</w:t>
            </w:r>
          </w:p>
        </w:tc>
        <w:tc>
          <w:tcPr>
            <w:tcW w:w="44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71,961</w:t>
            </w:r>
          </w:p>
        </w:tc>
        <w:tc>
          <w:tcPr>
            <w:tcW w:w="44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30,910</w:t>
            </w:r>
          </w:p>
        </w:tc>
        <w:tc>
          <w:tcPr>
            <w:tcW w:w="44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30,910</w:t>
            </w:r>
          </w:p>
        </w:tc>
        <w:tc>
          <w:tcPr>
            <w:tcW w:w="44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18,476</w:t>
            </w:r>
          </w:p>
        </w:tc>
        <w:tc>
          <w:tcPr>
            <w:tcW w:w="44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18,476</w:t>
            </w:r>
          </w:p>
        </w:tc>
        <w:tc>
          <w:tcPr>
            <w:tcW w:w="704"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-61%</w:t>
            </w:r>
          </w:p>
        </w:tc>
        <w:tc>
          <w:tcPr>
            <w:tcW w:w="704"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-90%</w:t>
            </w:r>
          </w:p>
        </w:tc>
      </w:tr>
      <w:tr w:rsidR="004B04E6" w:rsidRPr="001B4B14" w:rsidTr="00796562">
        <w:trPr>
          <w:trHeight w:val="300"/>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Calibri"/>
                <w:b/>
                <w:bCs/>
                <w:lang w:eastAsia="es-CO"/>
              </w:rPr>
            </w:pPr>
            <w:r w:rsidRPr="001B4B14">
              <w:rPr>
                <w:rFonts w:ascii="Arial Narrow" w:eastAsia="Times New Roman" w:hAnsi="Arial Narrow" w:cs="Calibri"/>
                <w:b/>
                <w:bCs/>
                <w:lang w:eastAsia="es-CO"/>
              </w:rPr>
              <w:t>Tolima</w:t>
            </w:r>
          </w:p>
        </w:tc>
        <w:tc>
          <w:tcPr>
            <w:tcW w:w="814"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168,274</w:t>
            </w:r>
          </w:p>
        </w:tc>
        <w:tc>
          <w:tcPr>
            <w:tcW w:w="44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77,288</w:t>
            </w:r>
          </w:p>
        </w:tc>
        <w:tc>
          <w:tcPr>
            <w:tcW w:w="44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42,345</w:t>
            </w:r>
          </w:p>
        </w:tc>
        <w:tc>
          <w:tcPr>
            <w:tcW w:w="44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42,345</w:t>
            </w:r>
          </w:p>
        </w:tc>
        <w:tc>
          <w:tcPr>
            <w:tcW w:w="44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10,736</w:t>
            </w:r>
          </w:p>
        </w:tc>
        <w:tc>
          <w:tcPr>
            <w:tcW w:w="44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10,736</w:t>
            </w:r>
          </w:p>
        </w:tc>
        <w:tc>
          <w:tcPr>
            <w:tcW w:w="704"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-54%</w:t>
            </w:r>
          </w:p>
        </w:tc>
        <w:tc>
          <w:tcPr>
            <w:tcW w:w="704"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-94%</w:t>
            </w:r>
          </w:p>
        </w:tc>
      </w:tr>
      <w:tr w:rsidR="004B04E6" w:rsidRPr="001B4B14" w:rsidTr="00796562">
        <w:trPr>
          <w:trHeight w:val="300"/>
        </w:trPr>
        <w:tc>
          <w:tcPr>
            <w:tcW w:w="570" w:type="pct"/>
            <w:tcBorders>
              <w:top w:val="nil"/>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Calibri"/>
                <w:b/>
                <w:bCs/>
                <w:lang w:eastAsia="es-CO"/>
              </w:rPr>
            </w:pPr>
            <w:r w:rsidRPr="001B4B14">
              <w:rPr>
                <w:rFonts w:ascii="Arial Narrow" w:eastAsia="Times New Roman" w:hAnsi="Arial Narrow" w:cs="Calibri"/>
                <w:b/>
                <w:bCs/>
                <w:lang w:eastAsia="es-CO"/>
              </w:rPr>
              <w:t>Boyacá</w:t>
            </w:r>
          </w:p>
        </w:tc>
        <w:tc>
          <w:tcPr>
            <w:tcW w:w="814"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156,582</w:t>
            </w:r>
          </w:p>
        </w:tc>
        <w:tc>
          <w:tcPr>
            <w:tcW w:w="44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79,669</w:t>
            </w:r>
          </w:p>
        </w:tc>
        <w:tc>
          <w:tcPr>
            <w:tcW w:w="44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44,148</w:t>
            </w:r>
          </w:p>
        </w:tc>
        <w:tc>
          <w:tcPr>
            <w:tcW w:w="44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44,148</w:t>
            </w:r>
          </w:p>
        </w:tc>
        <w:tc>
          <w:tcPr>
            <w:tcW w:w="44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16,397</w:t>
            </w:r>
          </w:p>
        </w:tc>
        <w:tc>
          <w:tcPr>
            <w:tcW w:w="44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16,397</w:t>
            </w:r>
          </w:p>
        </w:tc>
        <w:tc>
          <w:tcPr>
            <w:tcW w:w="704"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-49%</w:t>
            </w:r>
          </w:p>
        </w:tc>
        <w:tc>
          <w:tcPr>
            <w:tcW w:w="704"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Calibri"/>
                <w:lang w:eastAsia="es-CO"/>
              </w:rPr>
            </w:pPr>
            <w:r w:rsidRPr="001B4B14">
              <w:rPr>
                <w:rFonts w:ascii="Arial Narrow" w:eastAsia="Times New Roman" w:hAnsi="Arial Narrow" w:cs="Calibri"/>
                <w:lang w:eastAsia="es-CO"/>
              </w:rPr>
              <w:t>-90%</w:t>
            </w:r>
          </w:p>
        </w:tc>
      </w:tr>
    </w:tbl>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rPr>
        <w:t>Fuente: Consultar</w:t>
      </w:r>
      <w:r w:rsidRPr="001B4B14">
        <w:rPr>
          <w:rStyle w:val="Refdenotaalpie"/>
          <w:rFonts w:ascii="Arial Narrow" w:hAnsi="Arial Narrow"/>
        </w:rPr>
        <w:footnoteReference w:id="1"/>
      </w:r>
    </w:p>
    <w:p w:rsidR="004B04E6" w:rsidRDefault="004B04E6" w:rsidP="004B04E6">
      <w:pPr>
        <w:autoSpaceDE w:val="0"/>
        <w:autoSpaceDN w:val="0"/>
        <w:adjustRightInd w:val="0"/>
        <w:spacing w:after="0" w:line="240" w:lineRule="auto"/>
        <w:jc w:val="both"/>
        <w:rPr>
          <w:rFonts w:ascii="Arial Narrow" w:hAnsi="Arial Narrow" w:cs="Arial Narrow"/>
          <w:sz w:val="24"/>
          <w:szCs w:val="24"/>
        </w:rPr>
      </w:pPr>
    </w:p>
    <w:p w:rsidR="004B04E6" w:rsidRPr="001B4B14" w:rsidRDefault="004B04E6" w:rsidP="004B04E6">
      <w:pPr>
        <w:autoSpaceDE w:val="0"/>
        <w:autoSpaceDN w:val="0"/>
        <w:adjustRightInd w:val="0"/>
        <w:spacing w:after="0" w:line="240" w:lineRule="auto"/>
        <w:jc w:val="both"/>
        <w:rPr>
          <w:rFonts w:ascii="Arial Narrow" w:hAnsi="Arial Narrow" w:cs="Arial Narrow"/>
          <w:sz w:val="24"/>
          <w:szCs w:val="24"/>
        </w:rPr>
      </w:pPr>
      <w:r w:rsidRPr="001B4B14">
        <w:rPr>
          <w:rFonts w:ascii="Arial Narrow" w:hAnsi="Arial Narrow" w:cs="Arial Narrow"/>
          <w:sz w:val="24"/>
          <w:szCs w:val="24"/>
        </w:rPr>
        <w:t xml:space="preserve">La tabla anterior muestra la inequidad del Acto legislativo 05 de 2011 al verse reducida la participación de las Asignaciones Directas a las entidades territoriales productoras. El año 2011 fue el último en aplicarse el sistema anterior y era el Departamento del Meta el que recibía una mayor cantidad de recursos por el orden de los 1.3 billones de pesos seguido de Casanare con 601 mil millones, Arauca con 360 mil millones, Santander 0.35 billones y La Guajira con 0.2 billones de pesos encabezaban el listado.  </w:t>
      </w:r>
    </w:p>
    <w:p w:rsidR="004B04E6" w:rsidRPr="001B4B14" w:rsidRDefault="004B04E6" w:rsidP="004B04E6">
      <w:pPr>
        <w:autoSpaceDE w:val="0"/>
        <w:autoSpaceDN w:val="0"/>
        <w:adjustRightInd w:val="0"/>
        <w:spacing w:after="0" w:line="240" w:lineRule="auto"/>
        <w:jc w:val="both"/>
        <w:rPr>
          <w:rFonts w:ascii="Arial Narrow" w:hAnsi="Arial Narrow" w:cs="Arial Narrow"/>
          <w:sz w:val="24"/>
          <w:szCs w:val="24"/>
        </w:rPr>
      </w:pPr>
    </w:p>
    <w:p w:rsidR="004B04E6" w:rsidRDefault="004B04E6" w:rsidP="004B04E6">
      <w:pPr>
        <w:pStyle w:val="NormalWeb"/>
        <w:spacing w:before="0" w:beforeAutospacing="0" w:after="0" w:afterAutospacing="0"/>
        <w:jc w:val="both"/>
        <w:rPr>
          <w:rFonts w:ascii="Arial Narrow" w:hAnsi="Arial Narrow" w:cs="Arial Narrow"/>
        </w:rPr>
      </w:pPr>
      <w:r w:rsidRPr="001B4B14">
        <w:rPr>
          <w:rFonts w:ascii="Arial Narrow" w:hAnsi="Arial Narrow" w:cs="Arial Narrow"/>
        </w:rPr>
        <w:t>Teniendo en cuenta que el parágrafo 2 transitorio de mencionado acto legislativo contempló una reducción gradual de la participación de las regalías directas, el primer año del 50%, en el 2013 del 35%, el 2014 el 25% pero a partir de 2015 del 20%, la reducción de los ingresos de los departamentos de la tabla anterior en el primer año de transición es decir en 2012, estuvo entre el 34% y 70%. Ya a partir de 2015, año en que la participación de las directas se reduce a tan sólo el 20%, el ingreso de éstos departamentos se ve disminuida hasta en el 94% como es el caso del Tolima, 93% el departamento de Arauca, 89% Santander, 87% Casanare; menoscabando la economía de dichos departamentos e incrementando la inequidad con éstas regiones que son en últimas los que reciben los coletazos de la exploración y explotación minero energética en materia social, ambiental y económica.</w:t>
      </w:r>
    </w:p>
    <w:p w:rsidR="004B04E6" w:rsidRDefault="004B04E6" w:rsidP="004B04E6">
      <w:pPr>
        <w:pStyle w:val="NormalWeb"/>
        <w:spacing w:before="0" w:beforeAutospacing="0" w:after="0" w:afterAutospacing="0"/>
        <w:jc w:val="both"/>
        <w:rPr>
          <w:rFonts w:ascii="Arial Narrow" w:hAnsi="Arial Narrow"/>
        </w:rPr>
      </w:pPr>
    </w:p>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rPr>
        <w:t>De otro lado, si se tiene en cuenta el crecimiento poblacional desde 1994, año en que se aprobó la ley 141 y el año 2017, el promedio nacional fue del 33.75% pero las zonas productoras de hidrocarburos y carbón, tuvieron un incremento más alto que la media a tal punto de duplicar en algunos casos como el departamento del Meta, Casanare, Arauca y La Guajira; lo anterior significa mayor demanda de servicios públicos, vivienda, vías, electrificación etc a los mandatarios locales y con  reducciones en el ingreso mayores al 90%</w:t>
      </w:r>
    </w:p>
    <w:p w:rsidR="004B04E6" w:rsidRPr="001B4B14" w:rsidRDefault="004B04E6" w:rsidP="004B04E6">
      <w:pPr>
        <w:pStyle w:val="NormalWeb"/>
        <w:spacing w:before="0" w:beforeAutospacing="0" w:after="0" w:afterAutospacing="0"/>
        <w:jc w:val="both"/>
        <w:rPr>
          <w:rFonts w:ascii="Arial Narrow" w:hAnsi="Arial Narrow"/>
        </w:rPr>
      </w:pPr>
    </w:p>
    <w:p w:rsidR="004B04E6" w:rsidRPr="001B4B14" w:rsidRDefault="004B04E6" w:rsidP="004B04E6">
      <w:pPr>
        <w:pStyle w:val="NormalWeb"/>
        <w:spacing w:before="0" w:beforeAutospacing="0" w:after="0" w:afterAutospacing="0"/>
        <w:jc w:val="both"/>
        <w:rPr>
          <w:rFonts w:ascii="Arial Narrow" w:hAnsi="Arial Narrow"/>
          <w:b/>
        </w:rPr>
      </w:pPr>
      <w:r w:rsidRPr="001B4B14">
        <w:rPr>
          <w:rFonts w:ascii="Arial Narrow" w:hAnsi="Arial Narrow"/>
          <w:b/>
        </w:rPr>
        <w:t>Tabla No 6. Crecimiento Poblacional Nacional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13"/>
        <w:gridCol w:w="1586"/>
        <w:gridCol w:w="1586"/>
        <w:gridCol w:w="2043"/>
      </w:tblGrid>
      <w:tr w:rsidR="004B04E6" w:rsidRPr="001B4B14" w:rsidTr="00796562">
        <w:trPr>
          <w:trHeight w:val="240"/>
        </w:trPr>
        <w:tc>
          <w:tcPr>
            <w:tcW w:w="2047" w:type="pct"/>
            <w:shd w:val="clear" w:color="auto" w:fill="auto"/>
            <w:noWrap/>
            <w:vAlign w:val="center"/>
            <w:hideMark/>
          </w:tcPr>
          <w:p w:rsidR="004B04E6" w:rsidRPr="001B4B14" w:rsidRDefault="004B04E6" w:rsidP="00796562">
            <w:pPr>
              <w:spacing w:after="0" w:line="240" w:lineRule="auto"/>
              <w:rPr>
                <w:rFonts w:ascii="Arial Narrow" w:eastAsia="Times New Roman" w:hAnsi="Arial Narrow" w:cs="Arial"/>
                <w:b/>
                <w:bCs/>
                <w:lang w:eastAsia="es-CO"/>
              </w:rPr>
            </w:pPr>
            <w:r w:rsidRPr="001B4B14">
              <w:rPr>
                <w:rFonts w:ascii="Arial Narrow" w:eastAsia="Times New Roman" w:hAnsi="Arial Narrow" w:cs="Arial"/>
                <w:b/>
                <w:bCs/>
                <w:lang w:eastAsia="es-CO"/>
              </w:rPr>
              <w:t>Departamento</w:t>
            </w:r>
          </w:p>
        </w:tc>
        <w:tc>
          <w:tcPr>
            <w:tcW w:w="898" w:type="pct"/>
            <w:shd w:val="clear" w:color="auto" w:fill="auto"/>
            <w:noWrap/>
            <w:vAlign w:val="center"/>
            <w:hideMark/>
          </w:tcPr>
          <w:p w:rsidR="004B04E6" w:rsidRPr="001B4B14" w:rsidRDefault="004B04E6" w:rsidP="00796562">
            <w:pPr>
              <w:spacing w:after="0" w:line="240" w:lineRule="auto"/>
              <w:jc w:val="center"/>
              <w:rPr>
                <w:rFonts w:ascii="Arial Narrow" w:eastAsia="Times New Roman" w:hAnsi="Arial Narrow" w:cs="Arial"/>
                <w:b/>
                <w:bCs/>
                <w:lang w:eastAsia="es-CO"/>
              </w:rPr>
            </w:pPr>
            <w:r w:rsidRPr="001B4B14">
              <w:rPr>
                <w:rFonts w:ascii="Arial Narrow" w:eastAsia="Times New Roman" w:hAnsi="Arial Narrow" w:cs="Arial"/>
                <w:b/>
                <w:bCs/>
                <w:lang w:eastAsia="es-CO"/>
              </w:rPr>
              <w:t>1994</w:t>
            </w:r>
          </w:p>
        </w:tc>
        <w:tc>
          <w:tcPr>
            <w:tcW w:w="898" w:type="pct"/>
            <w:shd w:val="clear" w:color="auto" w:fill="auto"/>
            <w:vAlign w:val="center"/>
            <w:hideMark/>
          </w:tcPr>
          <w:p w:rsidR="004B04E6" w:rsidRPr="001B4B14" w:rsidRDefault="004B04E6" w:rsidP="00796562">
            <w:pPr>
              <w:spacing w:after="0" w:line="240" w:lineRule="auto"/>
              <w:jc w:val="center"/>
              <w:rPr>
                <w:rFonts w:ascii="Arial Narrow" w:eastAsia="Times New Roman" w:hAnsi="Arial Narrow" w:cs="Arial"/>
                <w:b/>
                <w:bCs/>
                <w:lang w:eastAsia="es-CO"/>
              </w:rPr>
            </w:pPr>
            <w:r w:rsidRPr="001B4B14">
              <w:rPr>
                <w:rFonts w:ascii="Arial Narrow" w:eastAsia="Times New Roman" w:hAnsi="Arial Narrow" w:cs="Arial"/>
                <w:b/>
                <w:bCs/>
                <w:lang w:eastAsia="es-CO"/>
              </w:rPr>
              <w:t>2017</w:t>
            </w:r>
          </w:p>
        </w:tc>
        <w:tc>
          <w:tcPr>
            <w:tcW w:w="1157"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b/>
                <w:lang w:eastAsia="es-CO"/>
              </w:rPr>
              <w:t>2017 Vs 1994</w:t>
            </w:r>
          </w:p>
        </w:tc>
      </w:tr>
      <w:tr w:rsidR="004B04E6" w:rsidRPr="001B4B14" w:rsidTr="00796562">
        <w:trPr>
          <w:trHeight w:val="240"/>
        </w:trPr>
        <w:tc>
          <w:tcPr>
            <w:tcW w:w="2047" w:type="pct"/>
            <w:shd w:val="clear" w:color="auto" w:fill="auto"/>
            <w:noWrap/>
            <w:vAlign w:val="bottom"/>
            <w:hideMark/>
          </w:tcPr>
          <w:p w:rsidR="004B04E6" w:rsidRPr="001B4B14" w:rsidRDefault="004B04E6" w:rsidP="0079656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Antioquia</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4.813.026</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6.613.118</w:t>
            </w:r>
          </w:p>
        </w:tc>
        <w:tc>
          <w:tcPr>
            <w:tcW w:w="1157"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37,40%</w:t>
            </w:r>
          </w:p>
        </w:tc>
      </w:tr>
      <w:tr w:rsidR="004B04E6" w:rsidRPr="001B4B14" w:rsidTr="00796562">
        <w:trPr>
          <w:trHeight w:val="270"/>
        </w:trPr>
        <w:tc>
          <w:tcPr>
            <w:tcW w:w="2047" w:type="pct"/>
            <w:shd w:val="clear" w:color="auto" w:fill="auto"/>
            <w:noWrap/>
            <w:vAlign w:val="bottom"/>
            <w:hideMark/>
          </w:tcPr>
          <w:p w:rsidR="004B04E6" w:rsidRPr="001B4B14" w:rsidRDefault="004B04E6" w:rsidP="0079656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Atlántico</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1.835.291</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2.517.897</w:t>
            </w:r>
          </w:p>
        </w:tc>
        <w:tc>
          <w:tcPr>
            <w:tcW w:w="1157"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37,19%</w:t>
            </w:r>
          </w:p>
        </w:tc>
      </w:tr>
      <w:tr w:rsidR="004B04E6" w:rsidRPr="001B4B14" w:rsidTr="00796562">
        <w:trPr>
          <w:trHeight w:val="240"/>
        </w:trPr>
        <w:tc>
          <w:tcPr>
            <w:tcW w:w="2047" w:type="pct"/>
            <w:shd w:val="clear" w:color="auto" w:fill="auto"/>
            <w:noWrap/>
            <w:vAlign w:val="bottom"/>
            <w:hideMark/>
          </w:tcPr>
          <w:p w:rsidR="004B04E6" w:rsidRPr="001B4B14" w:rsidRDefault="004B04E6" w:rsidP="0079656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Bogotá, D.C.</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5.559.851</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8.080.734</w:t>
            </w:r>
          </w:p>
        </w:tc>
        <w:tc>
          <w:tcPr>
            <w:tcW w:w="1157"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45,34%</w:t>
            </w:r>
          </w:p>
        </w:tc>
      </w:tr>
      <w:tr w:rsidR="004B04E6" w:rsidRPr="001B4B14" w:rsidTr="00796562">
        <w:trPr>
          <w:trHeight w:val="270"/>
        </w:trPr>
        <w:tc>
          <w:tcPr>
            <w:tcW w:w="2047" w:type="pct"/>
            <w:shd w:val="clear" w:color="auto" w:fill="auto"/>
            <w:noWrap/>
            <w:vAlign w:val="bottom"/>
            <w:hideMark/>
          </w:tcPr>
          <w:p w:rsidR="004B04E6" w:rsidRPr="001B4B14" w:rsidRDefault="004B04E6" w:rsidP="0079656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Bolívar</w:t>
            </w:r>
            <w:r w:rsidRPr="001B4B14">
              <w:rPr>
                <w:rFonts w:ascii="Arial Narrow" w:eastAsia="Times New Roman" w:hAnsi="Arial Narrow" w:cs="Arial"/>
                <w:vertAlign w:val="superscript"/>
                <w:lang w:eastAsia="es-CO"/>
              </w:rPr>
              <w:t>(1)(3)</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1.645.902</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2.146.696</w:t>
            </w:r>
          </w:p>
        </w:tc>
        <w:tc>
          <w:tcPr>
            <w:tcW w:w="1157"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30,43%</w:t>
            </w:r>
          </w:p>
        </w:tc>
      </w:tr>
      <w:tr w:rsidR="004B04E6" w:rsidRPr="001B4B14" w:rsidTr="00796562">
        <w:trPr>
          <w:trHeight w:val="240"/>
        </w:trPr>
        <w:tc>
          <w:tcPr>
            <w:tcW w:w="2047" w:type="pct"/>
            <w:shd w:val="clear" w:color="auto" w:fill="auto"/>
            <w:noWrap/>
            <w:vAlign w:val="bottom"/>
            <w:hideMark/>
          </w:tcPr>
          <w:p w:rsidR="004B04E6" w:rsidRPr="001B4B14" w:rsidRDefault="004B04E6" w:rsidP="0079656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Boyacá</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1.199.400</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1.279.955</w:t>
            </w:r>
          </w:p>
        </w:tc>
        <w:tc>
          <w:tcPr>
            <w:tcW w:w="1157"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6,72%</w:t>
            </w:r>
          </w:p>
        </w:tc>
      </w:tr>
      <w:tr w:rsidR="004B04E6" w:rsidRPr="001B4B14" w:rsidTr="00796562">
        <w:trPr>
          <w:trHeight w:val="240"/>
        </w:trPr>
        <w:tc>
          <w:tcPr>
            <w:tcW w:w="2047" w:type="pct"/>
            <w:shd w:val="clear" w:color="auto" w:fill="auto"/>
            <w:noWrap/>
            <w:vAlign w:val="bottom"/>
            <w:hideMark/>
          </w:tcPr>
          <w:p w:rsidR="004B04E6" w:rsidRPr="001B4B14" w:rsidRDefault="004B04E6" w:rsidP="0079656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Caldas</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944.765</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991.860</w:t>
            </w:r>
          </w:p>
        </w:tc>
        <w:tc>
          <w:tcPr>
            <w:tcW w:w="1157"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4,98%</w:t>
            </w:r>
          </w:p>
        </w:tc>
      </w:tr>
      <w:tr w:rsidR="004B04E6" w:rsidRPr="001B4B14" w:rsidTr="00796562">
        <w:trPr>
          <w:trHeight w:val="240"/>
        </w:trPr>
        <w:tc>
          <w:tcPr>
            <w:tcW w:w="2047" w:type="pct"/>
            <w:shd w:val="clear" w:color="auto" w:fill="auto"/>
            <w:noWrap/>
            <w:vAlign w:val="bottom"/>
            <w:hideMark/>
          </w:tcPr>
          <w:p w:rsidR="004B04E6" w:rsidRPr="001B4B14" w:rsidRDefault="004B04E6" w:rsidP="0079656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Caquetá</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371.283</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490.056</w:t>
            </w:r>
          </w:p>
        </w:tc>
        <w:tc>
          <w:tcPr>
            <w:tcW w:w="1157"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31,99%</w:t>
            </w:r>
          </w:p>
        </w:tc>
      </w:tr>
      <w:tr w:rsidR="004B04E6" w:rsidRPr="001B4B14" w:rsidTr="00796562">
        <w:trPr>
          <w:trHeight w:val="270"/>
        </w:trPr>
        <w:tc>
          <w:tcPr>
            <w:tcW w:w="2047" w:type="pct"/>
            <w:shd w:val="clear" w:color="auto" w:fill="auto"/>
            <w:noWrap/>
            <w:vAlign w:val="bottom"/>
            <w:hideMark/>
          </w:tcPr>
          <w:p w:rsidR="004B04E6" w:rsidRPr="001B4B14" w:rsidRDefault="004B04E6" w:rsidP="0079656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Cauca</w:t>
            </w:r>
            <w:r w:rsidRPr="001B4B14">
              <w:rPr>
                <w:rFonts w:ascii="Arial Narrow" w:eastAsia="Times New Roman" w:hAnsi="Arial Narrow" w:cs="Arial"/>
                <w:vertAlign w:val="superscript"/>
                <w:lang w:eastAsia="es-CO"/>
              </w:rPr>
              <w:t>(1)(3)</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1.128.489</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1.404.205</w:t>
            </w:r>
          </w:p>
        </w:tc>
        <w:tc>
          <w:tcPr>
            <w:tcW w:w="1157"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24,43%</w:t>
            </w:r>
          </w:p>
        </w:tc>
      </w:tr>
      <w:tr w:rsidR="004B04E6" w:rsidRPr="001B4B14" w:rsidTr="00796562">
        <w:trPr>
          <w:trHeight w:val="240"/>
        </w:trPr>
        <w:tc>
          <w:tcPr>
            <w:tcW w:w="2047" w:type="pct"/>
            <w:shd w:val="clear" w:color="auto" w:fill="auto"/>
            <w:noWrap/>
            <w:vAlign w:val="bottom"/>
            <w:hideMark/>
          </w:tcPr>
          <w:p w:rsidR="004B04E6" w:rsidRPr="001B4B14" w:rsidRDefault="004B04E6" w:rsidP="0079656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Cesar</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772.772</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1.053.475</w:t>
            </w:r>
          </w:p>
        </w:tc>
        <w:tc>
          <w:tcPr>
            <w:tcW w:w="1157"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36,32%</w:t>
            </w:r>
          </w:p>
        </w:tc>
      </w:tr>
      <w:tr w:rsidR="004B04E6" w:rsidRPr="001B4B14" w:rsidTr="00796562">
        <w:trPr>
          <w:trHeight w:val="270"/>
        </w:trPr>
        <w:tc>
          <w:tcPr>
            <w:tcW w:w="2047" w:type="pct"/>
            <w:shd w:val="clear" w:color="auto" w:fill="auto"/>
            <w:noWrap/>
            <w:vAlign w:val="bottom"/>
            <w:hideMark/>
          </w:tcPr>
          <w:p w:rsidR="004B04E6" w:rsidRPr="001B4B14" w:rsidRDefault="004B04E6" w:rsidP="0079656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 xml:space="preserve">Córdoba </w:t>
            </w:r>
            <w:r w:rsidRPr="001B4B14">
              <w:rPr>
                <w:rFonts w:ascii="Arial Narrow" w:eastAsia="Times New Roman" w:hAnsi="Arial Narrow" w:cs="Arial"/>
                <w:vertAlign w:val="superscript"/>
                <w:lang w:eastAsia="es-CO"/>
              </w:rPr>
              <w:t>(1)(3)</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1.234.978</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1.762.530</w:t>
            </w:r>
          </w:p>
        </w:tc>
        <w:tc>
          <w:tcPr>
            <w:tcW w:w="1157"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42,72%</w:t>
            </w:r>
          </w:p>
        </w:tc>
      </w:tr>
      <w:tr w:rsidR="004B04E6" w:rsidRPr="001B4B14" w:rsidTr="00796562">
        <w:trPr>
          <w:trHeight w:val="240"/>
        </w:trPr>
        <w:tc>
          <w:tcPr>
            <w:tcW w:w="2047" w:type="pct"/>
            <w:shd w:val="clear" w:color="auto" w:fill="auto"/>
            <w:noWrap/>
            <w:vAlign w:val="bottom"/>
            <w:hideMark/>
          </w:tcPr>
          <w:p w:rsidR="004B04E6" w:rsidRPr="001B4B14" w:rsidRDefault="004B04E6" w:rsidP="0079656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Cundinamarca</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1.838.117</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2.762.784</w:t>
            </w:r>
          </w:p>
        </w:tc>
        <w:tc>
          <w:tcPr>
            <w:tcW w:w="1157"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50,31%</w:t>
            </w:r>
          </w:p>
        </w:tc>
      </w:tr>
      <w:tr w:rsidR="004B04E6" w:rsidRPr="001B4B14" w:rsidTr="00796562">
        <w:trPr>
          <w:trHeight w:val="270"/>
        </w:trPr>
        <w:tc>
          <w:tcPr>
            <w:tcW w:w="2047" w:type="pct"/>
            <w:shd w:val="clear" w:color="auto" w:fill="auto"/>
            <w:noWrap/>
            <w:vAlign w:val="bottom"/>
            <w:hideMark/>
          </w:tcPr>
          <w:p w:rsidR="004B04E6" w:rsidRPr="001B4B14" w:rsidRDefault="004B04E6" w:rsidP="0079656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Chocó</w:t>
            </w:r>
            <w:r w:rsidRPr="001B4B14">
              <w:rPr>
                <w:rFonts w:ascii="Arial Narrow" w:eastAsia="Times New Roman" w:hAnsi="Arial Narrow" w:cs="Arial"/>
                <w:vertAlign w:val="superscript"/>
                <w:lang w:eastAsia="es-CO"/>
              </w:rPr>
              <w:t>(2)</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410.933</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510.047</w:t>
            </w:r>
          </w:p>
        </w:tc>
        <w:tc>
          <w:tcPr>
            <w:tcW w:w="1157"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24,12%</w:t>
            </w:r>
          </w:p>
        </w:tc>
      </w:tr>
      <w:tr w:rsidR="004B04E6" w:rsidRPr="001B4B14" w:rsidTr="00796562">
        <w:trPr>
          <w:trHeight w:val="240"/>
        </w:trPr>
        <w:tc>
          <w:tcPr>
            <w:tcW w:w="2047" w:type="pct"/>
            <w:shd w:val="clear" w:color="auto" w:fill="D9D9D9" w:themeFill="background1" w:themeFillShade="D9"/>
            <w:noWrap/>
            <w:vAlign w:val="bottom"/>
            <w:hideMark/>
          </w:tcPr>
          <w:p w:rsidR="004B04E6" w:rsidRPr="001B4B14" w:rsidRDefault="004B04E6" w:rsidP="0079656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Huila</w:t>
            </w:r>
          </w:p>
        </w:tc>
        <w:tc>
          <w:tcPr>
            <w:tcW w:w="898" w:type="pct"/>
            <w:shd w:val="clear" w:color="auto" w:fill="D9D9D9" w:themeFill="background1" w:themeFillShade="D9"/>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848.210</w:t>
            </w:r>
          </w:p>
        </w:tc>
        <w:tc>
          <w:tcPr>
            <w:tcW w:w="898" w:type="pct"/>
            <w:shd w:val="clear" w:color="auto" w:fill="D9D9D9" w:themeFill="background1" w:themeFillShade="D9"/>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1.182.944</w:t>
            </w:r>
          </w:p>
        </w:tc>
        <w:tc>
          <w:tcPr>
            <w:tcW w:w="1157" w:type="pct"/>
            <w:shd w:val="clear" w:color="auto" w:fill="D9D9D9" w:themeFill="background1" w:themeFillShade="D9"/>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39,46%</w:t>
            </w:r>
          </w:p>
        </w:tc>
      </w:tr>
      <w:tr w:rsidR="004B04E6" w:rsidRPr="001B4B14" w:rsidTr="00796562">
        <w:trPr>
          <w:trHeight w:val="240"/>
        </w:trPr>
        <w:tc>
          <w:tcPr>
            <w:tcW w:w="2047" w:type="pct"/>
            <w:shd w:val="clear" w:color="auto" w:fill="D9D9D9" w:themeFill="background1" w:themeFillShade="D9"/>
            <w:noWrap/>
            <w:vAlign w:val="bottom"/>
            <w:hideMark/>
          </w:tcPr>
          <w:p w:rsidR="004B04E6" w:rsidRPr="001B4B14" w:rsidRDefault="004B04E6" w:rsidP="0079656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La Guajira</w:t>
            </w:r>
          </w:p>
        </w:tc>
        <w:tc>
          <w:tcPr>
            <w:tcW w:w="898" w:type="pct"/>
            <w:shd w:val="clear" w:color="auto" w:fill="D9D9D9" w:themeFill="background1" w:themeFillShade="D9"/>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441.350</w:t>
            </w:r>
          </w:p>
        </w:tc>
        <w:tc>
          <w:tcPr>
            <w:tcW w:w="898" w:type="pct"/>
            <w:shd w:val="clear" w:color="auto" w:fill="D9D9D9" w:themeFill="background1" w:themeFillShade="D9"/>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1.012.926</w:t>
            </w:r>
          </w:p>
        </w:tc>
        <w:tc>
          <w:tcPr>
            <w:tcW w:w="1157" w:type="pct"/>
            <w:shd w:val="clear" w:color="auto" w:fill="D9D9D9" w:themeFill="background1" w:themeFillShade="D9"/>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129,51%</w:t>
            </w:r>
          </w:p>
        </w:tc>
      </w:tr>
      <w:tr w:rsidR="004B04E6" w:rsidRPr="001B4B14" w:rsidTr="00796562">
        <w:trPr>
          <w:trHeight w:val="240"/>
        </w:trPr>
        <w:tc>
          <w:tcPr>
            <w:tcW w:w="2047" w:type="pct"/>
            <w:shd w:val="clear" w:color="auto" w:fill="auto"/>
            <w:noWrap/>
            <w:vAlign w:val="bottom"/>
            <w:hideMark/>
          </w:tcPr>
          <w:p w:rsidR="004B04E6" w:rsidRPr="001B4B14" w:rsidRDefault="004B04E6" w:rsidP="0079656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Magdalena</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1.045.940</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1.285.384</w:t>
            </w:r>
          </w:p>
        </w:tc>
        <w:tc>
          <w:tcPr>
            <w:tcW w:w="1157"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22,89%</w:t>
            </w:r>
          </w:p>
        </w:tc>
      </w:tr>
      <w:tr w:rsidR="004B04E6" w:rsidRPr="001B4B14" w:rsidTr="00796562">
        <w:trPr>
          <w:trHeight w:val="240"/>
        </w:trPr>
        <w:tc>
          <w:tcPr>
            <w:tcW w:w="2047" w:type="pct"/>
            <w:shd w:val="clear" w:color="auto" w:fill="D9D9D9" w:themeFill="background1" w:themeFillShade="D9"/>
            <w:noWrap/>
            <w:vAlign w:val="bottom"/>
            <w:hideMark/>
          </w:tcPr>
          <w:p w:rsidR="004B04E6" w:rsidRPr="001B4B14" w:rsidRDefault="004B04E6" w:rsidP="0079656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Meta</w:t>
            </w:r>
          </w:p>
        </w:tc>
        <w:tc>
          <w:tcPr>
            <w:tcW w:w="898" w:type="pct"/>
            <w:shd w:val="clear" w:color="auto" w:fill="D9D9D9" w:themeFill="background1" w:themeFillShade="D9"/>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602.837</w:t>
            </w:r>
          </w:p>
        </w:tc>
        <w:tc>
          <w:tcPr>
            <w:tcW w:w="898" w:type="pct"/>
            <w:shd w:val="clear" w:color="auto" w:fill="D9D9D9" w:themeFill="background1" w:themeFillShade="D9"/>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998.162</w:t>
            </w:r>
          </w:p>
        </w:tc>
        <w:tc>
          <w:tcPr>
            <w:tcW w:w="1157" w:type="pct"/>
            <w:shd w:val="clear" w:color="auto" w:fill="D9D9D9" w:themeFill="background1" w:themeFillShade="D9"/>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65,58%</w:t>
            </w:r>
          </w:p>
        </w:tc>
      </w:tr>
      <w:tr w:rsidR="004B04E6" w:rsidRPr="001B4B14" w:rsidTr="00796562">
        <w:trPr>
          <w:trHeight w:val="240"/>
        </w:trPr>
        <w:tc>
          <w:tcPr>
            <w:tcW w:w="2047" w:type="pct"/>
            <w:shd w:val="clear" w:color="auto" w:fill="auto"/>
            <w:noWrap/>
            <w:vAlign w:val="bottom"/>
            <w:hideMark/>
          </w:tcPr>
          <w:p w:rsidR="004B04E6" w:rsidRPr="001B4B14" w:rsidRDefault="004B04E6" w:rsidP="0079656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Nariño</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1.334.335</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1.787.545</w:t>
            </w:r>
          </w:p>
        </w:tc>
        <w:tc>
          <w:tcPr>
            <w:tcW w:w="1157"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33,97%</w:t>
            </w:r>
          </w:p>
        </w:tc>
      </w:tr>
      <w:tr w:rsidR="004B04E6" w:rsidRPr="001B4B14" w:rsidTr="00796562">
        <w:trPr>
          <w:trHeight w:val="240"/>
        </w:trPr>
        <w:tc>
          <w:tcPr>
            <w:tcW w:w="2047" w:type="pct"/>
            <w:shd w:val="clear" w:color="auto" w:fill="auto"/>
            <w:noWrap/>
            <w:vAlign w:val="bottom"/>
            <w:hideMark/>
          </w:tcPr>
          <w:p w:rsidR="004B04E6" w:rsidRPr="001B4B14" w:rsidRDefault="004B04E6" w:rsidP="0079656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Norte de Santander</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1.112.889</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1.379.533</w:t>
            </w:r>
          </w:p>
        </w:tc>
        <w:tc>
          <w:tcPr>
            <w:tcW w:w="1157"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23,96%</w:t>
            </w:r>
          </w:p>
        </w:tc>
      </w:tr>
      <w:tr w:rsidR="004B04E6" w:rsidRPr="001B4B14" w:rsidTr="00796562">
        <w:trPr>
          <w:trHeight w:val="240"/>
        </w:trPr>
        <w:tc>
          <w:tcPr>
            <w:tcW w:w="2047" w:type="pct"/>
            <w:shd w:val="clear" w:color="auto" w:fill="auto"/>
            <w:noWrap/>
            <w:vAlign w:val="bottom"/>
            <w:hideMark/>
          </w:tcPr>
          <w:p w:rsidR="004B04E6" w:rsidRPr="001B4B14" w:rsidRDefault="004B04E6" w:rsidP="0079656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Quindio</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493.421</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571.733</w:t>
            </w:r>
          </w:p>
        </w:tc>
        <w:tc>
          <w:tcPr>
            <w:tcW w:w="1157"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15,87%</w:t>
            </w:r>
          </w:p>
        </w:tc>
      </w:tr>
      <w:tr w:rsidR="004B04E6" w:rsidRPr="001B4B14" w:rsidTr="00796562">
        <w:trPr>
          <w:trHeight w:val="240"/>
        </w:trPr>
        <w:tc>
          <w:tcPr>
            <w:tcW w:w="2047" w:type="pct"/>
            <w:shd w:val="clear" w:color="auto" w:fill="auto"/>
            <w:noWrap/>
            <w:vAlign w:val="bottom"/>
            <w:hideMark/>
          </w:tcPr>
          <w:p w:rsidR="004B04E6" w:rsidRPr="001B4B14" w:rsidRDefault="004B04E6" w:rsidP="0079656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Risaralda</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821.660</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962.529</w:t>
            </w:r>
          </w:p>
        </w:tc>
        <w:tc>
          <w:tcPr>
            <w:tcW w:w="1157"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17,14%</w:t>
            </w:r>
          </w:p>
        </w:tc>
      </w:tr>
      <w:tr w:rsidR="004B04E6" w:rsidRPr="001B4B14" w:rsidTr="00796562">
        <w:trPr>
          <w:trHeight w:val="240"/>
        </w:trPr>
        <w:tc>
          <w:tcPr>
            <w:tcW w:w="2047" w:type="pct"/>
            <w:shd w:val="clear" w:color="auto" w:fill="D9D9D9" w:themeFill="background1" w:themeFillShade="D9"/>
            <w:noWrap/>
            <w:vAlign w:val="bottom"/>
            <w:hideMark/>
          </w:tcPr>
          <w:p w:rsidR="004B04E6" w:rsidRPr="001B4B14" w:rsidRDefault="004B04E6" w:rsidP="0079656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Santander</w:t>
            </w:r>
          </w:p>
        </w:tc>
        <w:tc>
          <w:tcPr>
            <w:tcW w:w="898" w:type="pct"/>
            <w:shd w:val="clear" w:color="auto" w:fill="D9D9D9" w:themeFill="background1" w:themeFillShade="D9"/>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1.804.993</w:t>
            </w:r>
          </w:p>
        </w:tc>
        <w:tc>
          <w:tcPr>
            <w:tcW w:w="898" w:type="pct"/>
            <w:shd w:val="clear" w:color="auto" w:fill="D9D9D9" w:themeFill="background1" w:themeFillShade="D9"/>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2.080.938</w:t>
            </w:r>
          </w:p>
        </w:tc>
        <w:tc>
          <w:tcPr>
            <w:tcW w:w="1157" w:type="pct"/>
            <w:shd w:val="clear" w:color="auto" w:fill="D9D9D9" w:themeFill="background1" w:themeFillShade="D9"/>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15,29%</w:t>
            </w:r>
          </w:p>
        </w:tc>
      </w:tr>
      <w:tr w:rsidR="004B04E6" w:rsidRPr="001B4B14" w:rsidTr="00796562">
        <w:trPr>
          <w:trHeight w:val="240"/>
        </w:trPr>
        <w:tc>
          <w:tcPr>
            <w:tcW w:w="2047" w:type="pct"/>
            <w:shd w:val="clear" w:color="auto" w:fill="auto"/>
            <w:noWrap/>
            <w:vAlign w:val="bottom"/>
            <w:hideMark/>
          </w:tcPr>
          <w:p w:rsidR="004B04E6" w:rsidRPr="001B4B14" w:rsidRDefault="004B04E6" w:rsidP="0079656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Sucre</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682.593</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868.438</w:t>
            </w:r>
          </w:p>
        </w:tc>
        <w:tc>
          <w:tcPr>
            <w:tcW w:w="1157"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27,23%</w:t>
            </w:r>
          </w:p>
        </w:tc>
      </w:tr>
      <w:tr w:rsidR="004B04E6" w:rsidRPr="001B4B14" w:rsidTr="00796562">
        <w:trPr>
          <w:trHeight w:val="240"/>
        </w:trPr>
        <w:tc>
          <w:tcPr>
            <w:tcW w:w="2047" w:type="pct"/>
            <w:shd w:val="clear" w:color="auto" w:fill="auto"/>
            <w:noWrap/>
            <w:vAlign w:val="bottom"/>
            <w:hideMark/>
          </w:tcPr>
          <w:p w:rsidR="004B04E6" w:rsidRPr="001B4B14" w:rsidRDefault="004B04E6" w:rsidP="0079656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Tolima</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1.302.447</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1.416.124</w:t>
            </w:r>
          </w:p>
        </w:tc>
        <w:tc>
          <w:tcPr>
            <w:tcW w:w="1157"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8,73%</w:t>
            </w:r>
          </w:p>
        </w:tc>
      </w:tr>
      <w:tr w:rsidR="004B04E6" w:rsidRPr="001B4B14" w:rsidTr="00796562">
        <w:trPr>
          <w:trHeight w:val="240"/>
        </w:trPr>
        <w:tc>
          <w:tcPr>
            <w:tcW w:w="2047" w:type="pct"/>
            <w:shd w:val="clear" w:color="auto" w:fill="auto"/>
            <w:noWrap/>
            <w:vAlign w:val="bottom"/>
            <w:hideMark/>
          </w:tcPr>
          <w:p w:rsidR="004B04E6" w:rsidRPr="001B4B14" w:rsidRDefault="004B04E6" w:rsidP="0079656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Valle del Cauca</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3.665.947</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4.708.262</w:t>
            </w:r>
          </w:p>
        </w:tc>
        <w:tc>
          <w:tcPr>
            <w:tcW w:w="1157"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28,43%</w:t>
            </w:r>
          </w:p>
        </w:tc>
      </w:tr>
      <w:tr w:rsidR="004B04E6" w:rsidRPr="001B4B14" w:rsidTr="00796562">
        <w:trPr>
          <w:trHeight w:val="240"/>
        </w:trPr>
        <w:tc>
          <w:tcPr>
            <w:tcW w:w="2047" w:type="pct"/>
            <w:shd w:val="clear" w:color="auto" w:fill="D9D9D9" w:themeFill="background1" w:themeFillShade="D9"/>
            <w:noWrap/>
            <w:vAlign w:val="bottom"/>
            <w:hideMark/>
          </w:tcPr>
          <w:p w:rsidR="004B04E6" w:rsidRPr="001B4B14" w:rsidRDefault="004B04E6" w:rsidP="0079656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Arauca</w:t>
            </w:r>
          </w:p>
        </w:tc>
        <w:tc>
          <w:tcPr>
            <w:tcW w:w="898" w:type="pct"/>
            <w:shd w:val="clear" w:color="auto" w:fill="D9D9D9" w:themeFill="background1" w:themeFillShade="D9"/>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169.038</w:t>
            </w:r>
          </w:p>
        </w:tc>
        <w:tc>
          <w:tcPr>
            <w:tcW w:w="898" w:type="pct"/>
            <w:shd w:val="clear" w:color="auto" w:fill="D9D9D9" w:themeFill="background1" w:themeFillShade="D9"/>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267.992</w:t>
            </w:r>
          </w:p>
        </w:tc>
        <w:tc>
          <w:tcPr>
            <w:tcW w:w="1157" w:type="pct"/>
            <w:shd w:val="clear" w:color="auto" w:fill="D9D9D9" w:themeFill="background1" w:themeFillShade="D9"/>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58,54%</w:t>
            </w:r>
          </w:p>
        </w:tc>
      </w:tr>
      <w:tr w:rsidR="004B04E6" w:rsidRPr="001B4B14" w:rsidTr="00796562">
        <w:trPr>
          <w:trHeight w:val="240"/>
        </w:trPr>
        <w:tc>
          <w:tcPr>
            <w:tcW w:w="2047" w:type="pct"/>
            <w:shd w:val="clear" w:color="auto" w:fill="D9D9D9" w:themeFill="background1" w:themeFillShade="D9"/>
            <w:noWrap/>
            <w:vAlign w:val="bottom"/>
            <w:hideMark/>
          </w:tcPr>
          <w:p w:rsidR="004B04E6" w:rsidRPr="001B4B14" w:rsidRDefault="004B04E6" w:rsidP="0079656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Casanare</w:t>
            </w:r>
          </w:p>
        </w:tc>
        <w:tc>
          <w:tcPr>
            <w:tcW w:w="898" w:type="pct"/>
            <w:shd w:val="clear" w:color="auto" w:fill="D9D9D9" w:themeFill="background1" w:themeFillShade="D9"/>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223.871</w:t>
            </w:r>
          </w:p>
        </w:tc>
        <w:tc>
          <w:tcPr>
            <w:tcW w:w="898" w:type="pct"/>
            <w:shd w:val="clear" w:color="auto" w:fill="D9D9D9" w:themeFill="background1" w:themeFillShade="D9"/>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368.989</w:t>
            </w:r>
          </w:p>
        </w:tc>
        <w:tc>
          <w:tcPr>
            <w:tcW w:w="1157" w:type="pct"/>
            <w:shd w:val="clear" w:color="auto" w:fill="D9D9D9" w:themeFill="background1" w:themeFillShade="D9"/>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64,82%</w:t>
            </w:r>
          </w:p>
        </w:tc>
      </w:tr>
      <w:tr w:rsidR="004B04E6" w:rsidRPr="001B4B14" w:rsidTr="00796562">
        <w:trPr>
          <w:trHeight w:val="240"/>
        </w:trPr>
        <w:tc>
          <w:tcPr>
            <w:tcW w:w="2047" w:type="pct"/>
            <w:shd w:val="clear" w:color="auto" w:fill="auto"/>
            <w:noWrap/>
            <w:vAlign w:val="bottom"/>
            <w:hideMark/>
          </w:tcPr>
          <w:p w:rsidR="004B04E6" w:rsidRPr="001B4B14" w:rsidRDefault="004B04E6" w:rsidP="0079656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Putumayo</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262.409</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354.094</w:t>
            </w:r>
          </w:p>
        </w:tc>
        <w:tc>
          <w:tcPr>
            <w:tcW w:w="1157"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34,94%</w:t>
            </w:r>
          </w:p>
        </w:tc>
      </w:tr>
      <w:tr w:rsidR="004B04E6" w:rsidRPr="001B4B14" w:rsidTr="00796562">
        <w:trPr>
          <w:trHeight w:val="240"/>
        </w:trPr>
        <w:tc>
          <w:tcPr>
            <w:tcW w:w="2047" w:type="pct"/>
            <w:shd w:val="clear" w:color="auto" w:fill="auto"/>
            <w:noWrap/>
            <w:vAlign w:val="bottom"/>
            <w:hideMark/>
          </w:tcPr>
          <w:p w:rsidR="004B04E6" w:rsidRPr="001B4B14" w:rsidRDefault="004B04E6" w:rsidP="0079656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Archipiélago de San Andrés</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62.368</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77.759</w:t>
            </w:r>
          </w:p>
        </w:tc>
        <w:tc>
          <w:tcPr>
            <w:tcW w:w="1157"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24,68%</w:t>
            </w:r>
          </w:p>
        </w:tc>
      </w:tr>
      <w:tr w:rsidR="004B04E6" w:rsidRPr="001B4B14" w:rsidTr="00796562">
        <w:trPr>
          <w:trHeight w:val="240"/>
        </w:trPr>
        <w:tc>
          <w:tcPr>
            <w:tcW w:w="2047" w:type="pct"/>
            <w:shd w:val="clear" w:color="auto" w:fill="auto"/>
            <w:noWrap/>
            <w:vAlign w:val="bottom"/>
            <w:hideMark/>
          </w:tcPr>
          <w:p w:rsidR="004B04E6" w:rsidRPr="001B4B14" w:rsidRDefault="004B04E6" w:rsidP="0079656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Amazonas</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52.765</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77.948</w:t>
            </w:r>
          </w:p>
        </w:tc>
        <w:tc>
          <w:tcPr>
            <w:tcW w:w="1157"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47,73%</w:t>
            </w:r>
          </w:p>
        </w:tc>
      </w:tr>
      <w:tr w:rsidR="004B04E6" w:rsidRPr="001B4B14" w:rsidTr="00796562">
        <w:trPr>
          <w:trHeight w:val="240"/>
        </w:trPr>
        <w:tc>
          <w:tcPr>
            <w:tcW w:w="2047" w:type="pct"/>
            <w:shd w:val="clear" w:color="auto" w:fill="auto"/>
            <w:noWrap/>
            <w:vAlign w:val="bottom"/>
            <w:hideMark/>
          </w:tcPr>
          <w:p w:rsidR="004B04E6" w:rsidRPr="001B4B14" w:rsidRDefault="004B04E6" w:rsidP="0079656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Guainía</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25.067</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42.777</w:t>
            </w:r>
          </w:p>
        </w:tc>
        <w:tc>
          <w:tcPr>
            <w:tcW w:w="1157"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70,65%</w:t>
            </w:r>
          </w:p>
        </w:tc>
      </w:tr>
      <w:tr w:rsidR="004B04E6" w:rsidRPr="001B4B14" w:rsidTr="00796562">
        <w:trPr>
          <w:trHeight w:val="240"/>
        </w:trPr>
        <w:tc>
          <w:tcPr>
            <w:tcW w:w="2047" w:type="pct"/>
            <w:shd w:val="clear" w:color="auto" w:fill="auto"/>
            <w:noWrap/>
            <w:vAlign w:val="bottom"/>
            <w:hideMark/>
          </w:tcPr>
          <w:p w:rsidR="004B04E6" w:rsidRPr="001B4B14" w:rsidRDefault="004B04E6" w:rsidP="0079656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Guaviare</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78.904</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114.207</w:t>
            </w:r>
          </w:p>
        </w:tc>
        <w:tc>
          <w:tcPr>
            <w:tcW w:w="1157"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44,74%</w:t>
            </w:r>
          </w:p>
        </w:tc>
      </w:tr>
      <w:tr w:rsidR="004B04E6" w:rsidRPr="001B4B14" w:rsidTr="00796562">
        <w:trPr>
          <w:trHeight w:val="240"/>
        </w:trPr>
        <w:tc>
          <w:tcPr>
            <w:tcW w:w="2047" w:type="pct"/>
            <w:shd w:val="clear" w:color="auto" w:fill="auto"/>
            <w:noWrap/>
            <w:vAlign w:val="bottom"/>
            <w:hideMark/>
          </w:tcPr>
          <w:p w:rsidR="004B04E6" w:rsidRPr="001B4B14" w:rsidRDefault="004B04E6" w:rsidP="0079656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Vaupés</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31.329</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44.500</w:t>
            </w:r>
          </w:p>
        </w:tc>
        <w:tc>
          <w:tcPr>
            <w:tcW w:w="1157"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42,04%</w:t>
            </w:r>
          </w:p>
        </w:tc>
      </w:tr>
      <w:tr w:rsidR="004B04E6" w:rsidRPr="001B4B14" w:rsidTr="00796562">
        <w:trPr>
          <w:trHeight w:val="240"/>
        </w:trPr>
        <w:tc>
          <w:tcPr>
            <w:tcW w:w="2047" w:type="pct"/>
            <w:shd w:val="clear" w:color="auto" w:fill="auto"/>
            <w:noWrap/>
            <w:vAlign w:val="bottom"/>
            <w:hideMark/>
          </w:tcPr>
          <w:p w:rsidR="004B04E6" w:rsidRPr="001B4B14" w:rsidRDefault="004B04E6" w:rsidP="00796562">
            <w:pPr>
              <w:spacing w:after="0" w:line="240" w:lineRule="auto"/>
              <w:rPr>
                <w:rFonts w:ascii="Arial Narrow" w:eastAsia="Times New Roman" w:hAnsi="Arial Narrow" w:cs="Arial"/>
                <w:lang w:eastAsia="es-CO"/>
              </w:rPr>
            </w:pPr>
            <w:r w:rsidRPr="001B4B14">
              <w:rPr>
                <w:rFonts w:ascii="Arial Narrow" w:eastAsia="Times New Roman" w:hAnsi="Arial Narrow" w:cs="Arial"/>
                <w:lang w:eastAsia="es-CO"/>
              </w:rPr>
              <w:t>Vichada</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36.725</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75.468</w:t>
            </w:r>
          </w:p>
        </w:tc>
        <w:tc>
          <w:tcPr>
            <w:tcW w:w="1157"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105,49%</w:t>
            </w:r>
          </w:p>
        </w:tc>
      </w:tr>
      <w:tr w:rsidR="004B04E6" w:rsidRPr="001B4B14" w:rsidTr="00796562">
        <w:trPr>
          <w:trHeight w:val="240"/>
        </w:trPr>
        <w:tc>
          <w:tcPr>
            <w:tcW w:w="2047" w:type="pct"/>
            <w:shd w:val="clear" w:color="auto" w:fill="auto"/>
            <w:noWrap/>
            <w:vAlign w:val="bottom"/>
            <w:hideMark/>
          </w:tcPr>
          <w:p w:rsidR="004B04E6" w:rsidRPr="001B4B14" w:rsidRDefault="004B04E6" w:rsidP="00796562">
            <w:pPr>
              <w:spacing w:after="0" w:line="240" w:lineRule="auto"/>
              <w:rPr>
                <w:rFonts w:ascii="Arial Narrow" w:eastAsia="Times New Roman" w:hAnsi="Arial Narrow" w:cs="Arial"/>
                <w:b/>
                <w:bCs/>
                <w:lang w:eastAsia="es-CO"/>
              </w:rPr>
            </w:pPr>
            <w:r w:rsidRPr="001B4B14">
              <w:rPr>
                <w:rFonts w:ascii="Arial Narrow" w:eastAsia="Times New Roman" w:hAnsi="Arial Narrow" w:cs="Arial"/>
                <w:b/>
                <w:bCs/>
                <w:lang w:eastAsia="es-CO"/>
              </w:rPr>
              <w:t>Total Nacional</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b/>
                <w:bCs/>
                <w:lang w:eastAsia="es-CO"/>
              </w:rPr>
            </w:pPr>
            <w:r w:rsidRPr="001B4B14">
              <w:rPr>
                <w:rFonts w:ascii="Arial Narrow" w:eastAsia="Times New Roman" w:hAnsi="Arial Narrow" w:cs="Arial"/>
                <w:b/>
                <w:bCs/>
                <w:lang w:eastAsia="es-CO"/>
              </w:rPr>
              <w:t>36.853.905</w:t>
            </w:r>
          </w:p>
        </w:tc>
        <w:tc>
          <w:tcPr>
            <w:tcW w:w="898"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b/>
                <w:bCs/>
                <w:lang w:eastAsia="es-CO"/>
              </w:rPr>
            </w:pPr>
            <w:r w:rsidRPr="001B4B14">
              <w:rPr>
                <w:rFonts w:ascii="Arial Narrow" w:eastAsia="Times New Roman" w:hAnsi="Arial Narrow" w:cs="Arial"/>
                <w:b/>
                <w:bCs/>
                <w:lang w:eastAsia="es-CO"/>
              </w:rPr>
              <w:t>49.291.609</w:t>
            </w:r>
          </w:p>
        </w:tc>
        <w:tc>
          <w:tcPr>
            <w:tcW w:w="1157" w:type="pct"/>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b/>
                <w:bCs/>
                <w:lang w:eastAsia="es-CO"/>
              </w:rPr>
            </w:pPr>
            <w:r w:rsidRPr="001B4B14">
              <w:rPr>
                <w:rFonts w:ascii="Arial Narrow" w:eastAsia="Times New Roman" w:hAnsi="Arial Narrow" w:cs="Arial"/>
                <w:b/>
                <w:bCs/>
                <w:lang w:eastAsia="es-CO"/>
              </w:rPr>
              <w:t>33,75%</w:t>
            </w:r>
          </w:p>
        </w:tc>
      </w:tr>
    </w:tbl>
    <w:p w:rsidR="004B04E6" w:rsidRDefault="004B04E6" w:rsidP="004B04E6">
      <w:pPr>
        <w:pStyle w:val="NormalWeb"/>
        <w:spacing w:before="0" w:beforeAutospacing="0" w:after="0" w:afterAutospacing="0"/>
        <w:jc w:val="both"/>
        <w:rPr>
          <w:rFonts w:ascii="Arial Narrow" w:hAnsi="Arial Narrow"/>
        </w:rPr>
      </w:pPr>
      <w:r w:rsidRPr="001B4B14">
        <w:rPr>
          <w:rFonts w:ascii="Arial Narrow" w:hAnsi="Arial Narrow"/>
        </w:rPr>
        <w:t>Fuente: Departamento Nacional de Estadística</w:t>
      </w:r>
    </w:p>
    <w:p w:rsidR="004B04E6" w:rsidRDefault="004B04E6" w:rsidP="004B04E6">
      <w:pPr>
        <w:pStyle w:val="NormalWeb"/>
        <w:spacing w:before="0" w:beforeAutospacing="0" w:after="0" w:afterAutospacing="0"/>
        <w:jc w:val="both"/>
        <w:rPr>
          <w:rFonts w:ascii="Arial Narrow" w:hAnsi="Arial Narrow"/>
        </w:rPr>
      </w:pPr>
    </w:p>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rPr>
        <w:t>En el caso específico de la ciudad de Yopal capital del Departamento de Casanare, hace 20 años el 79% de la población eran habitantes urbanos y el 21% población rural, en el año 2017 la población rural se ve disminuida considerablemente en un 8% pero efecto contrario pasó con la población urbana que creció un 112% participando en un 90% de la población total.</w:t>
      </w:r>
    </w:p>
    <w:p w:rsidR="004B04E6" w:rsidRPr="001B4B14" w:rsidRDefault="004B04E6" w:rsidP="004B04E6">
      <w:pPr>
        <w:pStyle w:val="NormalWeb"/>
        <w:spacing w:before="0" w:beforeAutospacing="0" w:after="0" w:afterAutospacing="0"/>
        <w:jc w:val="both"/>
        <w:rPr>
          <w:rFonts w:ascii="Arial Narrow" w:hAnsi="Arial Narrow"/>
        </w:rPr>
      </w:pPr>
    </w:p>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rPr>
        <w:t>Ahora bien, si se compara la población desde el censo de 1985, el incremento de la población de Yopal es de la escandalosa cifra del 243% mientras que el promedio nacional es del 60%, incremento motivado por la “bonanza” petrolera, gentes que llagaron de otras zonas del país en busca de oportunidades y se radicaron definitivamente en la zona; ahora que se redujeron los ingresos en más del 90% en éstos entes territoriales, las necesidades siguen siendo las mismas y los departamentos y municipios ya no cuentan con los recursos suficientes para sobrellevar la demanda de bienes y servicios.</w:t>
      </w:r>
    </w:p>
    <w:p w:rsidR="004B04E6" w:rsidRPr="001B4B14" w:rsidRDefault="004B04E6" w:rsidP="004B04E6">
      <w:pPr>
        <w:pStyle w:val="NormalWeb"/>
        <w:spacing w:before="0" w:beforeAutospacing="0" w:after="0" w:afterAutospacing="0"/>
        <w:jc w:val="both"/>
        <w:rPr>
          <w:rFonts w:ascii="Arial Narrow" w:hAnsi="Arial Narrow"/>
        </w:rPr>
      </w:pPr>
    </w:p>
    <w:p w:rsidR="004B04E6" w:rsidRPr="001B4B14" w:rsidRDefault="004B04E6" w:rsidP="004B04E6">
      <w:pPr>
        <w:pStyle w:val="NormalWeb"/>
        <w:spacing w:before="0" w:beforeAutospacing="0" w:after="0" w:afterAutospacing="0"/>
        <w:jc w:val="both"/>
        <w:rPr>
          <w:rFonts w:ascii="Arial Narrow" w:hAnsi="Arial Narrow"/>
          <w:b/>
        </w:rPr>
      </w:pPr>
      <w:r w:rsidRPr="001B4B14">
        <w:rPr>
          <w:rFonts w:ascii="Arial Narrow" w:hAnsi="Arial Narrow"/>
          <w:b/>
        </w:rPr>
        <w:t>Tabla No 7. Crecimiento Poblacional Yopal</w:t>
      </w:r>
    </w:p>
    <w:tbl>
      <w:tblPr>
        <w:tblW w:w="5000" w:type="pct"/>
        <w:tblCellMar>
          <w:left w:w="70" w:type="dxa"/>
          <w:right w:w="70" w:type="dxa"/>
        </w:tblCellMar>
        <w:tblLook w:val="04A0" w:firstRow="1" w:lastRow="0" w:firstColumn="1" w:lastColumn="0" w:noHBand="0" w:noVBand="1"/>
      </w:tblPr>
      <w:tblGrid>
        <w:gridCol w:w="1003"/>
        <w:gridCol w:w="692"/>
        <w:gridCol w:w="1245"/>
        <w:gridCol w:w="692"/>
        <w:gridCol w:w="1245"/>
        <w:gridCol w:w="844"/>
        <w:gridCol w:w="1245"/>
        <w:gridCol w:w="931"/>
        <w:gridCol w:w="931"/>
      </w:tblGrid>
      <w:tr w:rsidR="004B04E6" w:rsidRPr="001B4B14" w:rsidTr="00796562">
        <w:trPr>
          <w:trHeight w:val="36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4B04E6" w:rsidRPr="001B4B14" w:rsidRDefault="004B04E6" w:rsidP="00796562">
            <w:pPr>
              <w:spacing w:after="0" w:line="240" w:lineRule="auto"/>
              <w:jc w:val="center"/>
              <w:rPr>
                <w:rFonts w:ascii="Arial Narrow" w:eastAsia="Times New Roman" w:hAnsi="Arial Narrow" w:cs="Arial"/>
                <w:b/>
                <w:bCs/>
                <w:lang w:eastAsia="es-CO"/>
              </w:rPr>
            </w:pPr>
            <w:r w:rsidRPr="001B4B14">
              <w:rPr>
                <w:rFonts w:ascii="Arial Narrow" w:eastAsia="Times New Roman" w:hAnsi="Arial Narrow" w:cs="Arial"/>
                <w:b/>
                <w:bCs/>
                <w:lang w:eastAsia="es-CO"/>
              </w:rPr>
              <w:t>POBLACIÓN YOPAL</w:t>
            </w:r>
          </w:p>
        </w:tc>
      </w:tr>
      <w:tr w:rsidR="004B04E6" w:rsidRPr="001B4B14" w:rsidTr="00796562">
        <w:trPr>
          <w:trHeight w:val="1080"/>
        </w:trPr>
        <w:tc>
          <w:tcPr>
            <w:tcW w:w="559" w:type="pct"/>
            <w:tcBorders>
              <w:top w:val="nil"/>
              <w:left w:val="single" w:sz="4" w:space="0" w:color="auto"/>
              <w:bottom w:val="single" w:sz="4" w:space="0" w:color="auto"/>
              <w:right w:val="single" w:sz="4" w:space="0" w:color="auto"/>
            </w:tcBorders>
            <w:shd w:val="clear" w:color="auto" w:fill="auto"/>
            <w:vAlign w:val="center"/>
            <w:hideMark/>
          </w:tcPr>
          <w:p w:rsidR="004B04E6" w:rsidRPr="001B4B14" w:rsidRDefault="004B04E6" w:rsidP="00796562">
            <w:pPr>
              <w:spacing w:after="0" w:line="240" w:lineRule="auto"/>
              <w:jc w:val="both"/>
              <w:rPr>
                <w:rFonts w:ascii="Arial Narrow" w:eastAsia="Times New Roman" w:hAnsi="Arial Narrow" w:cs="Arial"/>
                <w:b/>
                <w:bCs/>
                <w:lang w:eastAsia="es-CO"/>
              </w:rPr>
            </w:pPr>
            <w:r w:rsidRPr="001B4B14">
              <w:rPr>
                <w:rFonts w:ascii="Arial Narrow" w:eastAsia="Times New Roman" w:hAnsi="Arial Narrow" w:cs="Arial"/>
                <w:b/>
                <w:bCs/>
                <w:lang w:eastAsia="es-CO"/>
              </w:rPr>
              <w:t>Año</w:t>
            </w:r>
          </w:p>
        </w:tc>
        <w:tc>
          <w:tcPr>
            <w:tcW w:w="385" w:type="pct"/>
            <w:tcBorders>
              <w:top w:val="nil"/>
              <w:left w:val="nil"/>
              <w:bottom w:val="single" w:sz="4" w:space="0" w:color="auto"/>
              <w:right w:val="single" w:sz="4" w:space="0" w:color="auto"/>
            </w:tcBorders>
            <w:shd w:val="clear" w:color="auto" w:fill="auto"/>
            <w:vAlign w:val="center"/>
            <w:hideMark/>
          </w:tcPr>
          <w:p w:rsidR="004B04E6" w:rsidRPr="001B4B14" w:rsidRDefault="004B04E6" w:rsidP="00796562">
            <w:pPr>
              <w:spacing w:after="0" w:line="240" w:lineRule="auto"/>
              <w:jc w:val="center"/>
              <w:rPr>
                <w:rFonts w:ascii="Arial Narrow" w:eastAsia="Times New Roman" w:hAnsi="Arial Narrow" w:cs="Arial"/>
                <w:b/>
                <w:bCs/>
                <w:lang w:eastAsia="es-CO"/>
              </w:rPr>
            </w:pPr>
            <w:r w:rsidRPr="001B4B14">
              <w:rPr>
                <w:rFonts w:ascii="Arial Narrow" w:eastAsia="Times New Roman" w:hAnsi="Arial Narrow" w:cs="Arial"/>
                <w:b/>
                <w:bCs/>
                <w:lang w:eastAsia="es-CO"/>
              </w:rPr>
              <w:t>1985</w:t>
            </w:r>
          </w:p>
        </w:tc>
        <w:tc>
          <w:tcPr>
            <w:tcW w:w="709" w:type="pct"/>
            <w:tcBorders>
              <w:top w:val="nil"/>
              <w:left w:val="nil"/>
              <w:bottom w:val="single" w:sz="4" w:space="0" w:color="auto"/>
              <w:right w:val="single" w:sz="4" w:space="0" w:color="auto"/>
            </w:tcBorders>
            <w:shd w:val="clear" w:color="auto" w:fill="auto"/>
            <w:vAlign w:val="center"/>
            <w:hideMark/>
          </w:tcPr>
          <w:p w:rsidR="004B04E6" w:rsidRPr="001B4B14" w:rsidRDefault="004B04E6" w:rsidP="00796562">
            <w:pPr>
              <w:spacing w:after="0" w:line="240" w:lineRule="auto"/>
              <w:jc w:val="center"/>
              <w:rPr>
                <w:rFonts w:ascii="Arial Narrow" w:eastAsia="Times New Roman" w:hAnsi="Arial Narrow" w:cs="Arial"/>
                <w:b/>
                <w:bCs/>
                <w:sz w:val="21"/>
                <w:szCs w:val="21"/>
                <w:lang w:eastAsia="es-CO"/>
              </w:rPr>
            </w:pPr>
            <w:r w:rsidRPr="001B4B14">
              <w:rPr>
                <w:rFonts w:ascii="Arial Narrow" w:eastAsia="Times New Roman" w:hAnsi="Arial Narrow" w:cs="Arial"/>
                <w:b/>
                <w:bCs/>
                <w:sz w:val="21"/>
                <w:szCs w:val="21"/>
                <w:lang w:eastAsia="es-CO"/>
              </w:rPr>
              <w:t>Participación</w:t>
            </w:r>
          </w:p>
        </w:tc>
        <w:tc>
          <w:tcPr>
            <w:tcW w:w="385" w:type="pct"/>
            <w:tcBorders>
              <w:top w:val="nil"/>
              <w:left w:val="nil"/>
              <w:bottom w:val="single" w:sz="4" w:space="0" w:color="auto"/>
              <w:right w:val="single" w:sz="4" w:space="0" w:color="auto"/>
            </w:tcBorders>
            <w:shd w:val="clear" w:color="auto" w:fill="auto"/>
            <w:vAlign w:val="center"/>
            <w:hideMark/>
          </w:tcPr>
          <w:p w:rsidR="004B04E6" w:rsidRPr="001B4B14" w:rsidRDefault="004B04E6" w:rsidP="00796562">
            <w:pPr>
              <w:spacing w:after="0" w:line="240" w:lineRule="auto"/>
              <w:jc w:val="center"/>
              <w:rPr>
                <w:rFonts w:ascii="Arial Narrow" w:eastAsia="Times New Roman" w:hAnsi="Arial Narrow" w:cs="Arial"/>
                <w:b/>
                <w:bCs/>
                <w:sz w:val="21"/>
                <w:szCs w:val="21"/>
                <w:lang w:eastAsia="es-CO"/>
              </w:rPr>
            </w:pPr>
            <w:r w:rsidRPr="001B4B14">
              <w:rPr>
                <w:rFonts w:ascii="Arial Narrow" w:eastAsia="Times New Roman" w:hAnsi="Arial Narrow" w:cs="Arial"/>
                <w:b/>
                <w:bCs/>
                <w:sz w:val="21"/>
                <w:szCs w:val="21"/>
                <w:lang w:eastAsia="es-CO"/>
              </w:rPr>
              <w:t>1997</w:t>
            </w:r>
          </w:p>
        </w:tc>
        <w:tc>
          <w:tcPr>
            <w:tcW w:w="709" w:type="pct"/>
            <w:tcBorders>
              <w:top w:val="nil"/>
              <w:left w:val="nil"/>
              <w:bottom w:val="single" w:sz="4" w:space="0" w:color="auto"/>
              <w:right w:val="single" w:sz="4" w:space="0" w:color="auto"/>
            </w:tcBorders>
            <w:shd w:val="clear" w:color="auto" w:fill="auto"/>
            <w:vAlign w:val="center"/>
            <w:hideMark/>
          </w:tcPr>
          <w:p w:rsidR="004B04E6" w:rsidRPr="001B4B14" w:rsidRDefault="004B04E6" w:rsidP="00796562">
            <w:pPr>
              <w:spacing w:after="0" w:line="240" w:lineRule="auto"/>
              <w:jc w:val="center"/>
              <w:rPr>
                <w:rFonts w:ascii="Arial Narrow" w:eastAsia="Times New Roman" w:hAnsi="Arial Narrow" w:cs="Arial"/>
                <w:b/>
                <w:bCs/>
                <w:sz w:val="21"/>
                <w:szCs w:val="21"/>
                <w:lang w:eastAsia="es-CO"/>
              </w:rPr>
            </w:pPr>
            <w:r w:rsidRPr="001B4B14">
              <w:rPr>
                <w:rFonts w:ascii="Arial Narrow" w:eastAsia="Times New Roman" w:hAnsi="Arial Narrow" w:cs="Arial"/>
                <w:b/>
                <w:bCs/>
                <w:sz w:val="21"/>
                <w:szCs w:val="21"/>
                <w:lang w:eastAsia="es-CO"/>
              </w:rPr>
              <w:t>Participación</w:t>
            </w:r>
          </w:p>
        </w:tc>
        <w:tc>
          <w:tcPr>
            <w:tcW w:w="482" w:type="pct"/>
            <w:tcBorders>
              <w:top w:val="nil"/>
              <w:left w:val="nil"/>
              <w:bottom w:val="single" w:sz="4" w:space="0" w:color="auto"/>
              <w:right w:val="single" w:sz="4" w:space="0" w:color="auto"/>
            </w:tcBorders>
            <w:shd w:val="clear" w:color="auto" w:fill="auto"/>
            <w:vAlign w:val="center"/>
            <w:hideMark/>
          </w:tcPr>
          <w:p w:rsidR="004B04E6" w:rsidRPr="001B4B14" w:rsidRDefault="004B04E6" w:rsidP="00796562">
            <w:pPr>
              <w:spacing w:after="0" w:line="240" w:lineRule="auto"/>
              <w:jc w:val="center"/>
              <w:rPr>
                <w:rFonts w:ascii="Arial Narrow" w:eastAsia="Times New Roman" w:hAnsi="Arial Narrow" w:cs="Arial"/>
                <w:b/>
                <w:bCs/>
                <w:sz w:val="21"/>
                <w:szCs w:val="21"/>
                <w:lang w:eastAsia="es-CO"/>
              </w:rPr>
            </w:pPr>
            <w:r w:rsidRPr="001B4B14">
              <w:rPr>
                <w:rFonts w:ascii="Arial Narrow" w:eastAsia="Times New Roman" w:hAnsi="Arial Narrow" w:cs="Arial"/>
                <w:b/>
                <w:bCs/>
                <w:sz w:val="21"/>
                <w:szCs w:val="21"/>
                <w:lang w:eastAsia="es-CO"/>
              </w:rPr>
              <w:t>2017</w:t>
            </w:r>
          </w:p>
        </w:tc>
        <w:tc>
          <w:tcPr>
            <w:tcW w:w="709" w:type="pct"/>
            <w:tcBorders>
              <w:top w:val="nil"/>
              <w:left w:val="nil"/>
              <w:bottom w:val="single" w:sz="4" w:space="0" w:color="auto"/>
              <w:right w:val="single" w:sz="4" w:space="0" w:color="auto"/>
            </w:tcBorders>
            <w:shd w:val="clear" w:color="auto" w:fill="auto"/>
            <w:vAlign w:val="center"/>
            <w:hideMark/>
          </w:tcPr>
          <w:p w:rsidR="004B04E6" w:rsidRPr="001B4B14" w:rsidRDefault="004B04E6" w:rsidP="00796562">
            <w:pPr>
              <w:spacing w:after="0" w:line="240" w:lineRule="auto"/>
              <w:jc w:val="center"/>
              <w:rPr>
                <w:rFonts w:ascii="Arial Narrow" w:eastAsia="Times New Roman" w:hAnsi="Arial Narrow" w:cs="Arial"/>
                <w:b/>
                <w:bCs/>
                <w:sz w:val="21"/>
                <w:szCs w:val="21"/>
                <w:lang w:eastAsia="es-CO"/>
              </w:rPr>
            </w:pPr>
            <w:r w:rsidRPr="001B4B14">
              <w:rPr>
                <w:rFonts w:ascii="Arial Narrow" w:eastAsia="Times New Roman" w:hAnsi="Arial Narrow" w:cs="Arial"/>
                <w:b/>
                <w:bCs/>
                <w:sz w:val="21"/>
                <w:szCs w:val="21"/>
                <w:lang w:eastAsia="es-CO"/>
              </w:rPr>
              <w:t>Participación</w:t>
            </w:r>
          </w:p>
        </w:tc>
        <w:tc>
          <w:tcPr>
            <w:tcW w:w="531" w:type="pct"/>
            <w:tcBorders>
              <w:top w:val="nil"/>
              <w:left w:val="nil"/>
              <w:bottom w:val="single" w:sz="4" w:space="0" w:color="auto"/>
              <w:right w:val="single" w:sz="4" w:space="0" w:color="auto"/>
            </w:tcBorders>
            <w:shd w:val="clear" w:color="auto" w:fill="auto"/>
            <w:vAlign w:val="center"/>
            <w:hideMark/>
          </w:tcPr>
          <w:p w:rsidR="004B04E6" w:rsidRPr="001B4B14" w:rsidRDefault="004B04E6" w:rsidP="00796562">
            <w:pPr>
              <w:spacing w:after="0" w:line="240" w:lineRule="auto"/>
              <w:jc w:val="center"/>
              <w:rPr>
                <w:rFonts w:ascii="Arial Narrow" w:eastAsia="Times New Roman" w:hAnsi="Arial Narrow" w:cs="Arial"/>
                <w:b/>
                <w:bCs/>
                <w:sz w:val="21"/>
                <w:szCs w:val="21"/>
                <w:lang w:eastAsia="es-CO"/>
              </w:rPr>
            </w:pPr>
            <w:r w:rsidRPr="001B4B14">
              <w:rPr>
                <w:rFonts w:ascii="Arial Narrow" w:eastAsia="Times New Roman" w:hAnsi="Arial Narrow" w:cs="Arial"/>
                <w:b/>
                <w:bCs/>
                <w:sz w:val="21"/>
                <w:szCs w:val="21"/>
                <w:lang w:eastAsia="es-CO"/>
              </w:rPr>
              <w:t>Variación 2017 Vs 1985</w:t>
            </w:r>
          </w:p>
        </w:tc>
        <w:tc>
          <w:tcPr>
            <w:tcW w:w="531" w:type="pct"/>
            <w:tcBorders>
              <w:top w:val="nil"/>
              <w:left w:val="nil"/>
              <w:bottom w:val="single" w:sz="4" w:space="0" w:color="auto"/>
              <w:right w:val="single" w:sz="4" w:space="0" w:color="auto"/>
            </w:tcBorders>
            <w:shd w:val="clear" w:color="auto" w:fill="auto"/>
            <w:vAlign w:val="center"/>
            <w:hideMark/>
          </w:tcPr>
          <w:p w:rsidR="004B04E6" w:rsidRPr="001B4B14" w:rsidRDefault="004B04E6" w:rsidP="00796562">
            <w:pPr>
              <w:spacing w:after="0" w:line="240" w:lineRule="auto"/>
              <w:jc w:val="center"/>
              <w:rPr>
                <w:rFonts w:ascii="Arial Narrow" w:eastAsia="Times New Roman" w:hAnsi="Arial Narrow" w:cs="Arial"/>
                <w:b/>
                <w:bCs/>
                <w:sz w:val="21"/>
                <w:szCs w:val="21"/>
                <w:lang w:eastAsia="es-CO"/>
              </w:rPr>
            </w:pPr>
            <w:r w:rsidRPr="001B4B14">
              <w:rPr>
                <w:rFonts w:ascii="Arial Narrow" w:eastAsia="Times New Roman" w:hAnsi="Arial Narrow" w:cs="Arial"/>
                <w:b/>
                <w:bCs/>
                <w:sz w:val="21"/>
                <w:szCs w:val="21"/>
                <w:lang w:eastAsia="es-CO"/>
              </w:rPr>
              <w:t>Variación 2017 Vs 1997</w:t>
            </w:r>
          </w:p>
        </w:tc>
      </w:tr>
      <w:tr w:rsidR="004B04E6" w:rsidRPr="001B4B14" w:rsidTr="00796562">
        <w:trPr>
          <w:trHeight w:val="255"/>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04E6" w:rsidRPr="001B4B14" w:rsidRDefault="004B04E6" w:rsidP="00796562">
            <w:pPr>
              <w:spacing w:after="0" w:line="240" w:lineRule="auto"/>
              <w:jc w:val="both"/>
              <w:rPr>
                <w:rFonts w:ascii="Arial Narrow" w:eastAsia="Times New Roman" w:hAnsi="Arial Narrow" w:cs="Arial"/>
                <w:lang w:eastAsia="es-CO"/>
              </w:rPr>
            </w:pPr>
            <w:r w:rsidRPr="001B4B14">
              <w:rPr>
                <w:rFonts w:ascii="Arial Narrow" w:eastAsia="Times New Roman" w:hAnsi="Arial Narrow" w:cs="Arial"/>
                <w:lang w:eastAsia="es-CO"/>
              </w:rPr>
              <w:t>Población Urbana</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31,460</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74%</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61,774</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79%</w:t>
            </w:r>
          </w:p>
        </w:tc>
        <w:tc>
          <w:tcPr>
            <w:tcW w:w="48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130,903</w:t>
            </w:r>
          </w:p>
        </w:tc>
        <w:tc>
          <w:tcPr>
            <w:tcW w:w="7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90%</w:t>
            </w:r>
          </w:p>
        </w:tc>
        <w:tc>
          <w:tcPr>
            <w:tcW w:w="5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316%</w:t>
            </w:r>
          </w:p>
        </w:tc>
        <w:tc>
          <w:tcPr>
            <w:tcW w:w="53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112%</w:t>
            </w:r>
          </w:p>
        </w:tc>
      </w:tr>
      <w:tr w:rsidR="004B04E6" w:rsidRPr="001B4B14" w:rsidTr="00796562">
        <w:trPr>
          <w:trHeight w:val="720"/>
        </w:trPr>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B04E6" w:rsidRPr="001B4B14" w:rsidRDefault="004B04E6" w:rsidP="00796562">
            <w:pPr>
              <w:spacing w:after="0" w:line="240" w:lineRule="auto"/>
              <w:jc w:val="both"/>
              <w:rPr>
                <w:rFonts w:ascii="Arial Narrow" w:eastAsia="Times New Roman" w:hAnsi="Arial Narrow" w:cs="Arial"/>
                <w:lang w:eastAsia="es-CO"/>
              </w:rPr>
            </w:pPr>
            <w:r w:rsidRPr="001B4B14">
              <w:rPr>
                <w:rFonts w:ascii="Arial Narrow" w:eastAsia="Times New Roman" w:hAnsi="Arial Narrow" w:cs="Arial"/>
                <w:lang w:eastAsia="es-CO"/>
              </w:rPr>
              <w:t>Población Rural</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11,211</w:t>
            </w:r>
          </w:p>
        </w:tc>
        <w:tc>
          <w:tcPr>
            <w:tcW w:w="709" w:type="pct"/>
            <w:tcBorders>
              <w:top w:val="single" w:sz="4" w:space="0" w:color="auto"/>
              <w:left w:val="nil"/>
              <w:bottom w:val="single" w:sz="4" w:space="0" w:color="auto"/>
              <w:right w:val="single" w:sz="4" w:space="0" w:color="auto"/>
            </w:tcBorders>
            <w:shd w:val="clear" w:color="auto" w:fill="auto"/>
            <w:vAlign w:val="center"/>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26%</w:t>
            </w:r>
          </w:p>
        </w:tc>
        <w:tc>
          <w:tcPr>
            <w:tcW w:w="385" w:type="pct"/>
            <w:tcBorders>
              <w:top w:val="single" w:sz="4" w:space="0" w:color="auto"/>
              <w:left w:val="nil"/>
              <w:bottom w:val="single" w:sz="4" w:space="0" w:color="auto"/>
              <w:right w:val="single" w:sz="4" w:space="0" w:color="auto"/>
            </w:tcBorders>
            <w:shd w:val="clear" w:color="auto" w:fill="auto"/>
            <w:vAlign w:val="center"/>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16,559</w:t>
            </w:r>
          </w:p>
        </w:tc>
        <w:tc>
          <w:tcPr>
            <w:tcW w:w="709" w:type="pct"/>
            <w:tcBorders>
              <w:top w:val="single" w:sz="4" w:space="0" w:color="auto"/>
              <w:left w:val="nil"/>
              <w:bottom w:val="single" w:sz="4" w:space="0" w:color="auto"/>
              <w:right w:val="single" w:sz="4" w:space="0" w:color="auto"/>
            </w:tcBorders>
            <w:shd w:val="clear" w:color="auto" w:fill="auto"/>
            <w:vAlign w:val="center"/>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21%</w:t>
            </w:r>
          </w:p>
        </w:tc>
        <w:tc>
          <w:tcPr>
            <w:tcW w:w="482" w:type="pct"/>
            <w:tcBorders>
              <w:top w:val="single" w:sz="4" w:space="0" w:color="auto"/>
              <w:left w:val="nil"/>
              <w:bottom w:val="single" w:sz="4" w:space="0" w:color="auto"/>
              <w:right w:val="single" w:sz="4" w:space="0" w:color="auto"/>
            </w:tcBorders>
            <w:shd w:val="clear" w:color="auto" w:fill="auto"/>
            <w:vAlign w:val="center"/>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15,299</w:t>
            </w:r>
          </w:p>
        </w:tc>
        <w:tc>
          <w:tcPr>
            <w:tcW w:w="709" w:type="pct"/>
            <w:tcBorders>
              <w:top w:val="single" w:sz="4" w:space="0" w:color="auto"/>
              <w:left w:val="nil"/>
              <w:bottom w:val="single" w:sz="4" w:space="0" w:color="auto"/>
              <w:right w:val="single" w:sz="4" w:space="0" w:color="auto"/>
            </w:tcBorders>
            <w:shd w:val="clear" w:color="auto" w:fill="auto"/>
            <w:vAlign w:val="center"/>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10%</w:t>
            </w:r>
          </w:p>
        </w:tc>
        <w:tc>
          <w:tcPr>
            <w:tcW w:w="531"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36%</w:t>
            </w:r>
          </w:p>
        </w:tc>
        <w:tc>
          <w:tcPr>
            <w:tcW w:w="531"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Arial"/>
                <w:lang w:eastAsia="es-CO"/>
              </w:rPr>
            </w:pPr>
            <w:r w:rsidRPr="001B4B14">
              <w:rPr>
                <w:rFonts w:ascii="Arial Narrow" w:eastAsia="Times New Roman" w:hAnsi="Arial Narrow" w:cs="Arial"/>
                <w:lang w:eastAsia="es-CO"/>
              </w:rPr>
              <w:t>-8%</w:t>
            </w:r>
          </w:p>
        </w:tc>
      </w:tr>
      <w:tr w:rsidR="004B04E6" w:rsidRPr="001B4B14" w:rsidTr="00796562">
        <w:trPr>
          <w:trHeight w:val="720"/>
        </w:trPr>
        <w:tc>
          <w:tcPr>
            <w:tcW w:w="559" w:type="pct"/>
            <w:tcBorders>
              <w:top w:val="nil"/>
              <w:left w:val="single" w:sz="4" w:space="0" w:color="auto"/>
              <w:bottom w:val="single" w:sz="4" w:space="0" w:color="auto"/>
              <w:right w:val="single" w:sz="4" w:space="0" w:color="auto"/>
            </w:tcBorders>
            <w:shd w:val="clear" w:color="auto" w:fill="auto"/>
            <w:vAlign w:val="center"/>
            <w:hideMark/>
          </w:tcPr>
          <w:p w:rsidR="004B04E6" w:rsidRPr="001B4B14" w:rsidRDefault="004B04E6" w:rsidP="00796562">
            <w:pPr>
              <w:spacing w:after="0" w:line="240" w:lineRule="auto"/>
              <w:jc w:val="center"/>
              <w:rPr>
                <w:rFonts w:ascii="Arial Narrow" w:eastAsia="Times New Roman" w:hAnsi="Arial Narrow" w:cs="Arial"/>
                <w:b/>
                <w:bCs/>
                <w:lang w:eastAsia="es-CO"/>
              </w:rPr>
            </w:pPr>
            <w:r w:rsidRPr="001B4B14">
              <w:rPr>
                <w:rFonts w:ascii="Arial Narrow" w:eastAsia="Times New Roman" w:hAnsi="Arial Narrow" w:cs="Arial"/>
                <w:b/>
                <w:bCs/>
                <w:lang w:eastAsia="es-CO"/>
              </w:rPr>
              <w:t>Población Total</w:t>
            </w:r>
          </w:p>
        </w:tc>
        <w:tc>
          <w:tcPr>
            <w:tcW w:w="385" w:type="pct"/>
            <w:tcBorders>
              <w:top w:val="nil"/>
              <w:left w:val="nil"/>
              <w:bottom w:val="single" w:sz="4" w:space="0" w:color="auto"/>
              <w:right w:val="single" w:sz="4" w:space="0" w:color="auto"/>
            </w:tcBorders>
            <w:shd w:val="clear" w:color="auto" w:fill="auto"/>
            <w:vAlign w:val="center"/>
            <w:hideMark/>
          </w:tcPr>
          <w:p w:rsidR="004B04E6" w:rsidRPr="001B4B14" w:rsidRDefault="004B04E6" w:rsidP="00796562">
            <w:pPr>
              <w:spacing w:after="0" w:line="240" w:lineRule="auto"/>
              <w:jc w:val="center"/>
              <w:rPr>
                <w:rFonts w:ascii="Arial Narrow" w:eastAsia="Times New Roman" w:hAnsi="Arial Narrow" w:cs="Arial"/>
                <w:b/>
                <w:bCs/>
                <w:lang w:eastAsia="es-CO"/>
              </w:rPr>
            </w:pPr>
            <w:r w:rsidRPr="001B4B14">
              <w:rPr>
                <w:rFonts w:ascii="Arial Narrow" w:eastAsia="Times New Roman" w:hAnsi="Arial Narrow" w:cs="Arial"/>
                <w:b/>
                <w:bCs/>
                <w:lang w:eastAsia="es-CO"/>
              </w:rPr>
              <w:t>42,671</w:t>
            </w:r>
          </w:p>
        </w:tc>
        <w:tc>
          <w:tcPr>
            <w:tcW w:w="709" w:type="pct"/>
            <w:tcBorders>
              <w:top w:val="nil"/>
              <w:left w:val="nil"/>
              <w:bottom w:val="single" w:sz="4" w:space="0" w:color="auto"/>
              <w:right w:val="single" w:sz="4" w:space="0" w:color="auto"/>
            </w:tcBorders>
            <w:shd w:val="clear" w:color="auto" w:fill="auto"/>
            <w:vAlign w:val="center"/>
            <w:hideMark/>
          </w:tcPr>
          <w:p w:rsidR="004B04E6" w:rsidRPr="001B4B14" w:rsidRDefault="004B04E6" w:rsidP="00796562">
            <w:pPr>
              <w:spacing w:after="0" w:line="240" w:lineRule="auto"/>
              <w:jc w:val="center"/>
              <w:rPr>
                <w:rFonts w:ascii="Arial Narrow" w:eastAsia="Times New Roman" w:hAnsi="Arial Narrow" w:cs="Arial"/>
                <w:b/>
                <w:bCs/>
                <w:lang w:eastAsia="es-CO"/>
              </w:rPr>
            </w:pPr>
            <w:r w:rsidRPr="001B4B14">
              <w:rPr>
                <w:rFonts w:ascii="Arial Narrow" w:eastAsia="Times New Roman" w:hAnsi="Arial Narrow" w:cs="Arial"/>
                <w:b/>
                <w:bCs/>
                <w:lang w:eastAsia="es-CO"/>
              </w:rPr>
              <w:t>100%</w:t>
            </w:r>
          </w:p>
        </w:tc>
        <w:tc>
          <w:tcPr>
            <w:tcW w:w="385" w:type="pct"/>
            <w:tcBorders>
              <w:top w:val="nil"/>
              <w:left w:val="nil"/>
              <w:bottom w:val="single" w:sz="4" w:space="0" w:color="auto"/>
              <w:right w:val="single" w:sz="4" w:space="0" w:color="auto"/>
            </w:tcBorders>
            <w:shd w:val="clear" w:color="auto" w:fill="auto"/>
            <w:vAlign w:val="center"/>
            <w:hideMark/>
          </w:tcPr>
          <w:p w:rsidR="004B04E6" w:rsidRPr="001B4B14" w:rsidRDefault="004B04E6" w:rsidP="00796562">
            <w:pPr>
              <w:spacing w:after="0" w:line="240" w:lineRule="auto"/>
              <w:jc w:val="center"/>
              <w:rPr>
                <w:rFonts w:ascii="Arial Narrow" w:eastAsia="Times New Roman" w:hAnsi="Arial Narrow" w:cs="Arial"/>
                <w:b/>
                <w:bCs/>
                <w:lang w:eastAsia="es-CO"/>
              </w:rPr>
            </w:pPr>
            <w:r w:rsidRPr="001B4B14">
              <w:rPr>
                <w:rFonts w:ascii="Arial Narrow" w:eastAsia="Times New Roman" w:hAnsi="Arial Narrow" w:cs="Arial"/>
                <w:b/>
                <w:bCs/>
                <w:lang w:eastAsia="es-CO"/>
              </w:rPr>
              <w:t>78,333</w:t>
            </w:r>
          </w:p>
        </w:tc>
        <w:tc>
          <w:tcPr>
            <w:tcW w:w="709" w:type="pct"/>
            <w:tcBorders>
              <w:top w:val="nil"/>
              <w:left w:val="nil"/>
              <w:bottom w:val="single" w:sz="4" w:space="0" w:color="auto"/>
              <w:right w:val="single" w:sz="4" w:space="0" w:color="auto"/>
            </w:tcBorders>
            <w:shd w:val="clear" w:color="auto" w:fill="auto"/>
            <w:vAlign w:val="center"/>
            <w:hideMark/>
          </w:tcPr>
          <w:p w:rsidR="004B04E6" w:rsidRPr="001B4B14" w:rsidRDefault="004B04E6" w:rsidP="00796562">
            <w:pPr>
              <w:spacing w:after="0" w:line="240" w:lineRule="auto"/>
              <w:jc w:val="center"/>
              <w:rPr>
                <w:rFonts w:ascii="Arial Narrow" w:eastAsia="Times New Roman" w:hAnsi="Arial Narrow" w:cs="Arial"/>
                <w:b/>
                <w:bCs/>
                <w:lang w:eastAsia="es-CO"/>
              </w:rPr>
            </w:pPr>
            <w:r w:rsidRPr="001B4B14">
              <w:rPr>
                <w:rFonts w:ascii="Arial Narrow" w:eastAsia="Times New Roman" w:hAnsi="Arial Narrow" w:cs="Arial"/>
                <w:b/>
                <w:bCs/>
                <w:lang w:eastAsia="es-CO"/>
              </w:rPr>
              <w:t>100%</w:t>
            </w:r>
          </w:p>
        </w:tc>
        <w:tc>
          <w:tcPr>
            <w:tcW w:w="482" w:type="pct"/>
            <w:tcBorders>
              <w:top w:val="nil"/>
              <w:left w:val="nil"/>
              <w:bottom w:val="single" w:sz="4" w:space="0" w:color="auto"/>
              <w:right w:val="single" w:sz="4" w:space="0" w:color="auto"/>
            </w:tcBorders>
            <w:shd w:val="clear" w:color="auto" w:fill="auto"/>
            <w:vAlign w:val="center"/>
            <w:hideMark/>
          </w:tcPr>
          <w:p w:rsidR="004B04E6" w:rsidRPr="001B4B14" w:rsidRDefault="004B04E6" w:rsidP="00796562">
            <w:pPr>
              <w:spacing w:after="0" w:line="240" w:lineRule="auto"/>
              <w:jc w:val="center"/>
              <w:rPr>
                <w:rFonts w:ascii="Arial Narrow" w:eastAsia="Times New Roman" w:hAnsi="Arial Narrow" w:cs="Arial"/>
                <w:b/>
                <w:bCs/>
                <w:lang w:eastAsia="es-CO"/>
              </w:rPr>
            </w:pPr>
            <w:r w:rsidRPr="001B4B14">
              <w:rPr>
                <w:rFonts w:ascii="Arial Narrow" w:eastAsia="Times New Roman" w:hAnsi="Arial Narrow" w:cs="Arial"/>
                <w:b/>
                <w:bCs/>
                <w:lang w:eastAsia="es-CO"/>
              </w:rPr>
              <w:t>146,202</w:t>
            </w:r>
          </w:p>
        </w:tc>
        <w:tc>
          <w:tcPr>
            <w:tcW w:w="709" w:type="pct"/>
            <w:tcBorders>
              <w:top w:val="nil"/>
              <w:left w:val="nil"/>
              <w:bottom w:val="single" w:sz="4" w:space="0" w:color="auto"/>
              <w:right w:val="single" w:sz="4" w:space="0" w:color="auto"/>
            </w:tcBorders>
            <w:shd w:val="clear" w:color="auto" w:fill="auto"/>
            <w:vAlign w:val="center"/>
            <w:hideMark/>
          </w:tcPr>
          <w:p w:rsidR="004B04E6" w:rsidRPr="001B4B14" w:rsidRDefault="004B04E6" w:rsidP="00796562">
            <w:pPr>
              <w:spacing w:after="0" w:line="240" w:lineRule="auto"/>
              <w:jc w:val="center"/>
              <w:rPr>
                <w:rFonts w:ascii="Arial Narrow" w:eastAsia="Times New Roman" w:hAnsi="Arial Narrow" w:cs="Arial"/>
                <w:b/>
                <w:bCs/>
                <w:lang w:eastAsia="es-CO"/>
              </w:rPr>
            </w:pPr>
            <w:r w:rsidRPr="001B4B14">
              <w:rPr>
                <w:rFonts w:ascii="Arial Narrow" w:eastAsia="Times New Roman" w:hAnsi="Arial Narrow" w:cs="Arial"/>
                <w:b/>
                <w:bCs/>
                <w:lang w:eastAsia="es-CO"/>
              </w:rPr>
              <w:t>100%</w:t>
            </w:r>
          </w:p>
        </w:tc>
        <w:tc>
          <w:tcPr>
            <w:tcW w:w="531" w:type="pct"/>
            <w:tcBorders>
              <w:top w:val="nil"/>
              <w:left w:val="nil"/>
              <w:bottom w:val="single" w:sz="4" w:space="0" w:color="auto"/>
              <w:right w:val="single" w:sz="4" w:space="0" w:color="auto"/>
            </w:tcBorders>
            <w:shd w:val="clear" w:color="auto" w:fill="auto"/>
            <w:noWrap/>
            <w:vAlign w:val="center"/>
            <w:hideMark/>
          </w:tcPr>
          <w:p w:rsidR="004B04E6" w:rsidRPr="001B4B14" w:rsidRDefault="004B04E6" w:rsidP="00796562">
            <w:pPr>
              <w:spacing w:after="0" w:line="240" w:lineRule="auto"/>
              <w:jc w:val="center"/>
              <w:rPr>
                <w:rFonts w:ascii="Arial Narrow" w:eastAsia="Times New Roman" w:hAnsi="Arial Narrow" w:cs="Arial"/>
                <w:b/>
                <w:bCs/>
                <w:lang w:eastAsia="es-CO"/>
              </w:rPr>
            </w:pPr>
            <w:r w:rsidRPr="001B4B14">
              <w:rPr>
                <w:rFonts w:ascii="Arial Narrow" w:eastAsia="Times New Roman" w:hAnsi="Arial Narrow" w:cs="Arial"/>
                <w:b/>
                <w:bCs/>
                <w:lang w:eastAsia="es-CO"/>
              </w:rPr>
              <w:t>243%</w:t>
            </w:r>
          </w:p>
        </w:tc>
        <w:tc>
          <w:tcPr>
            <w:tcW w:w="531" w:type="pct"/>
            <w:tcBorders>
              <w:top w:val="nil"/>
              <w:left w:val="nil"/>
              <w:bottom w:val="single" w:sz="4" w:space="0" w:color="auto"/>
              <w:right w:val="single" w:sz="4" w:space="0" w:color="auto"/>
            </w:tcBorders>
            <w:shd w:val="clear" w:color="auto" w:fill="auto"/>
            <w:noWrap/>
            <w:vAlign w:val="center"/>
            <w:hideMark/>
          </w:tcPr>
          <w:p w:rsidR="004B04E6" w:rsidRPr="001B4B14" w:rsidRDefault="004B04E6" w:rsidP="00796562">
            <w:pPr>
              <w:spacing w:after="0" w:line="240" w:lineRule="auto"/>
              <w:jc w:val="center"/>
              <w:rPr>
                <w:rFonts w:ascii="Arial Narrow" w:eastAsia="Times New Roman" w:hAnsi="Arial Narrow" w:cs="Arial"/>
                <w:b/>
                <w:bCs/>
                <w:lang w:eastAsia="es-CO"/>
              </w:rPr>
            </w:pPr>
            <w:r w:rsidRPr="001B4B14">
              <w:rPr>
                <w:rFonts w:ascii="Arial Narrow" w:eastAsia="Times New Roman" w:hAnsi="Arial Narrow" w:cs="Arial"/>
                <w:b/>
                <w:bCs/>
                <w:lang w:eastAsia="es-CO"/>
              </w:rPr>
              <w:t>87%</w:t>
            </w:r>
          </w:p>
        </w:tc>
      </w:tr>
    </w:tbl>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rPr>
        <w:t>Fuente: Departamento Nacional de Estadística</w:t>
      </w:r>
    </w:p>
    <w:p w:rsidR="004B04E6" w:rsidRPr="001B4B14" w:rsidRDefault="004B04E6" w:rsidP="004B04E6">
      <w:pPr>
        <w:pStyle w:val="NormalWeb"/>
        <w:spacing w:before="0" w:beforeAutospacing="0" w:after="0" w:afterAutospacing="0"/>
        <w:jc w:val="both"/>
        <w:rPr>
          <w:rFonts w:ascii="Arial Narrow" w:hAnsi="Arial Narrow"/>
          <w:b/>
        </w:rPr>
      </w:pPr>
    </w:p>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rPr>
        <w:t>Ahora bien, si se tiene en cuenta el nivel de dispersión entendido como la proporción de habitantes por kilómetro cuadrado de las zonas productoras frente el resto del país, los departamentos productores otra vez están en desventaja versus el resto de entes territoriales con densidades de 2 personas por kilómetro cuadrado frente a 10 habitantes por kilómetro cuadrado del promedio nacional o de 40 habitantes por kilómetro cuadrado en el caso de Cundinamarca para poner un ejemplo. Lo anterior supone una mayor dificultad de llegar a cubrir las necesidades básicas de éstas comunidades teniendo en cuenta que algunas se encuentran a más de 200 kilómetros de los centros urbanos como en el caso de los llanos. De ésta manera, es más costoso en éstas zonas la construcción de infraestructura, la prestación de servicios etc.</w:t>
      </w:r>
    </w:p>
    <w:p w:rsidR="004B04E6" w:rsidRPr="001B4B14" w:rsidRDefault="004B04E6" w:rsidP="004B04E6">
      <w:pPr>
        <w:pStyle w:val="NormalWeb"/>
        <w:spacing w:before="0" w:beforeAutospacing="0" w:after="0" w:afterAutospacing="0"/>
        <w:jc w:val="both"/>
        <w:rPr>
          <w:rFonts w:ascii="Arial Narrow" w:hAnsi="Arial Narrow"/>
          <w:b/>
        </w:rPr>
      </w:pPr>
    </w:p>
    <w:p w:rsidR="004B04E6" w:rsidRPr="001B4B14" w:rsidRDefault="004B04E6" w:rsidP="004B04E6">
      <w:pPr>
        <w:pStyle w:val="NormalWeb"/>
        <w:spacing w:before="0" w:beforeAutospacing="0" w:after="0" w:afterAutospacing="0"/>
        <w:jc w:val="both"/>
        <w:rPr>
          <w:rFonts w:ascii="Arial Narrow" w:hAnsi="Arial Narrow"/>
          <w:b/>
        </w:rPr>
      </w:pPr>
      <w:r w:rsidRPr="001B4B14">
        <w:rPr>
          <w:rFonts w:ascii="Arial Narrow" w:hAnsi="Arial Narrow"/>
          <w:b/>
        </w:rPr>
        <w:t>Tabla No 8. Nivel de Dispersión</w:t>
      </w:r>
    </w:p>
    <w:tbl>
      <w:tblPr>
        <w:tblW w:w="5000" w:type="pct"/>
        <w:tblCellMar>
          <w:left w:w="70" w:type="dxa"/>
          <w:right w:w="70" w:type="dxa"/>
        </w:tblCellMar>
        <w:tblLook w:val="04A0" w:firstRow="1" w:lastRow="0" w:firstColumn="1" w:lastColumn="0" w:noHBand="0" w:noVBand="1"/>
      </w:tblPr>
      <w:tblGrid>
        <w:gridCol w:w="5896"/>
        <w:gridCol w:w="2922"/>
      </w:tblGrid>
      <w:tr w:rsidR="004B04E6" w:rsidRPr="001B4B14" w:rsidTr="00796562">
        <w:trPr>
          <w:trHeight w:val="315"/>
        </w:trPr>
        <w:tc>
          <w:tcPr>
            <w:tcW w:w="3343"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B04E6" w:rsidRPr="001B4B14" w:rsidRDefault="004B04E6" w:rsidP="00796562">
            <w:pPr>
              <w:spacing w:after="0" w:line="240" w:lineRule="auto"/>
              <w:rPr>
                <w:rFonts w:ascii="Arial Narrow" w:eastAsia="Times New Roman" w:hAnsi="Arial Narrow" w:cs="Arial"/>
                <w:b/>
                <w:bCs/>
                <w:sz w:val="24"/>
                <w:szCs w:val="24"/>
                <w:lang w:eastAsia="es-CO"/>
              </w:rPr>
            </w:pPr>
            <w:r w:rsidRPr="001B4B14">
              <w:rPr>
                <w:rFonts w:ascii="Arial Narrow" w:eastAsia="Times New Roman" w:hAnsi="Arial Narrow" w:cs="Arial"/>
                <w:b/>
                <w:bCs/>
                <w:sz w:val="24"/>
                <w:szCs w:val="24"/>
                <w:lang w:eastAsia="es-CO"/>
              </w:rPr>
              <w:t>Departamento</w:t>
            </w:r>
          </w:p>
        </w:tc>
        <w:tc>
          <w:tcPr>
            <w:tcW w:w="1657" w:type="pct"/>
            <w:tcBorders>
              <w:top w:val="single" w:sz="8" w:space="0" w:color="auto"/>
              <w:left w:val="nil"/>
              <w:bottom w:val="single" w:sz="8" w:space="0" w:color="auto"/>
              <w:right w:val="single" w:sz="8" w:space="0" w:color="auto"/>
            </w:tcBorders>
            <w:shd w:val="clear" w:color="auto" w:fill="auto"/>
            <w:noWrap/>
            <w:vAlign w:val="center"/>
            <w:hideMark/>
          </w:tcPr>
          <w:p w:rsidR="004B04E6" w:rsidRPr="001B4B14" w:rsidRDefault="004B04E6" w:rsidP="00796562">
            <w:pPr>
              <w:spacing w:after="0" w:line="240" w:lineRule="auto"/>
              <w:jc w:val="center"/>
              <w:rPr>
                <w:rFonts w:ascii="Arial Narrow" w:eastAsia="Times New Roman" w:hAnsi="Arial Narrow" w:cs="Arial"/>
                <w:b/>
                <w:bCs/>
                <w:sz w:val="24"/>
                <w:szCs w:val="24"/>
                <w:lang w:eastAsia="es-CO"/>
              </w:rPr>
            </w:pPr>
            <w:r w:rsidRPr="001B4B14">
              <w:rPr>
                <w:rFonts w:ascii="Arial Narrow" w:eastAsia="Times New Roman" w:hAnsi="Arial Narrow" w:cs="Arial"/>
                <w:b/>
                <w:bCs/>
                <w:sz w:val="24"/>
                <w:szCs w:val="24"/>
                <w:lang w:eastAsia="es-CO"/>
              </w:rPr>
              <w:t>2017</w:t>
            </w:r>
          </w:p>
        </w:tc>
      </w:tr>
      <w:tr w:rsidR="004B04E6" w:rsidRPr="001B4B14" w:rsidTr="00796562">
        <w:trPr>
          <w:trHeight w:val="315"/>
        </w:trPr>
        <w:tc>
          <w:tcPr>
            <w:tcW w:w="3343" w:type="pct"/>
            <w:tcBorders>
              <w:top w:val="nil"/>
              <w:left w:val="single" w:sz="8" w:space="0" w:color="auto"/>
              <w:bottom w:val="single" w:sz="8" w:space="0" w:color="auto"/>
              <w:right w:val="single" w:sz="8" w:space="0" w:color="auto"/>
            </w:tcBorders>
            <w:shd w:val="clear" w:color="000000" w:fill="D9D9D9"/>
            <w:noWrap/>
            <w:vAlign w:val="center"/>
            <w:hideMark/>
          </w:tcPr>
          <w:p w:rsidR="004B04E6" w:rsidRPr="001B4B14" w:rsidRDefault="004B04E6" w:rsidP="0079656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Casanare</w:t>
            </w:r>
          </w:p>
        </w:tc>
        <w:tc>
          <w:tcPr>
            <w:tcW w:w="1657" w:type="pct"/>
            <w:tcBorders>
              <w:top w:val="nil"/>
              <w:left w:val="nil"/>
              <w:bottom w:val="single" w:sz="8" w:space="0" w:color="auto"/>
              <w:right w:val="single" w:sz="8" w:space="0" w:color="auto"/>
            </w:tcBorders>
            <w:shd w:val="clear" w:color="000000" w:fill="D9D9D9"/>
            <w:noWrap/>
            <w:vAlign w:val="center"/>
            <w:hideMark/>
          </w:tcPr>
          <w:p w:rsidR="004B04E6" w:rsidRPr="001B4B14" w:rsidRDefault="004B04E6" w:rsidP="0079656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2,1</w:t>
            </w:r>
          </w:p>
        </w:tc>
      </w:tr>
      <w:tr w:rsidR="004B04E6" w:rsidRPr="001B4B14" w:rsidTr="00796562">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4B04E6" w:rsidRPr="001B4B14" w:rsidRDefault="004B04E6" w:rsidP="0079656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Caquetá</w:t>
            </w:r>
          </w:p>
        </w:tc>
        <w:tc>
          <w:tcPr>
            <w:tcW w:w="1657" w:type="pct"/>
            <w:tcBorders>
              <w:top w:val="nil"/>
              <w:left w:val="nil"/>
              <w:bottom w:val="single" w:sz="8" w:space="0" w:color="auto"/>
              <w:right w:val="single" w:sz="8" w:space="0" w:color="auto"/>
            </w:tcBorders>
            <w:shd w:val="clear" w:color="auto" w:fill="auto"/>
            <w:noWrap/>
            <w:vAlign w:val="center"/>
            <w:hideMark/>
          </w:tcPr>
          <w:p w:rsidR="004B04E6" w:rsidRPr="001B4B14" w:rsidRDefault="004B04E6" w:rsidP="0079656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2,17</w:t>
            </w:r>
          </w:p>
        </w:tc>
      </w:tr>
      <w:tr w:rsidR="004B04E6" w:rsidRPr="001B4B14" w:rsidTr="00796562">
        <w:trPr>
          <w:trHeight w:val="315"/>
        </w:trPr>
        <w:tc>
          <w:tcPr>
            <w:tcW w:w="3343" w:type="pct"/>
            <w:tcBorders>
              <w:top w:val="nil"/>
              <w:left w:val="single" w:sz="8" w:space="0" w:color="auto"/>
              <w:bottom w:val="single" w:sz="8" w:space="0" w:color="auto"/>
              <w:right w:val="single" w:sz="8" w:space="0" w:color="auto"/>
            </w:tcBorders>
            <w:shd w:val="clear" w:color="000000" w:fill="D9D9D9"/>
            <w:noWrap/>
            <w:vAlign w:val="center"/>
            <w:hideMark/>
          </w:tcPr>
          <w:p w:rsidR="004B04E6" w:rsidRPr="001B4B14" w:rsidRDefault="004B04E6" w:rsidP="0079656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Meta</w:t>
            </w:r>
          </w:p>
        </w:tc>
        <w:tc>
          <w:tcPr>
            <w:tcW w:w="1657" w:type="pct"/>
            <w:tcBorders>
              <w:top w:val="nil"/>
              <w:left w:val="nil"/>
              <w:bottom w:val="single" w:sz="8" w:space="0" w:color="auto"/>
              <w:right w:val="single" w:sz="8" w:space="0" w:color="auto"/>
            </w:tcBorders>
            <w:shd w:val="clear" w:color="000000" w:fill="D9D9D9"/>
            <w:noWrap/>
            <w:vAlign w:val="center"/>
            <w:hideMark/>
          </w:tcPr>
          <w:p w:rsidR="004B04E6" w:rsidRPr="001B4B14" w:rsidRDefault="004B04E6" w:rsidP="0079656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2,79</w:t>
            </w:r>
          </w:p>
        </w:tc>
      </w:tr>
      <w:tr w:rsidR="004B04E6" w:rsidRPr="001B4B14" w:rsidTr="00796562">
        <w:trPr>
          <w:trHeight w:val="315"/>
        </w:trPr>
        <w:tc>
          <w:tcPr>
            <w:tcW w:w="3343" w:type="pct"/>
            <w:tcBorders>
              <w:top w:val="nil"/>
              <w:left w:val="single" w:sz="8" w:space="0" w:color="auto"/>
              <w:bottom w:val="single" w:sz="8" w:space="0" w:color="auto"/>
              <w:right w:val="single" w:sz="8" w:space="0" w:color="auto"/>
            </w:tcBorders>
            <w:shd w:val="clear" w:color="000000" w:fill="D9D9D9"/>
            <w:noWrap/>
            <w:vAlign w:val="center"/>
            <w:hideMark/>
          </w:tcPr>
          <w:p w:rsidR="004B04E6" w:rsidRPr="001B4B14" w:rsidRDefault="004B04E6" w:rsidP="0079656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Arauca</w:t>
            </w:r>
          </w:p>
        </w:tc>
        <w:tc>
          <w:tcPr>
            <w:tcW w:w="1657" w:type="pct"/>
            <w:tcBorders>
              <w:top w:val="nil"/>
              <w:left w:val="nil"/>
              <w:bottom w:val="single" w:sz="8" w:space="0" w:color="auto"/>
              <w:right w:val="single" w:sz="8" w:space="0" w:color="auto"/>
            </w:tcBorders>
            <w:shd w:val="clear" w:color="000000" w:fill="D9D9D9"/>
            <w:noWrap/>
            <w:vAlign w:val="center"/>
            <w:hideMark/>
          </w:tcPr>
          <w:p w:rsidR="004B04E6" w:rsidRPr="001B4B14" w:rsidRDefault="004B04E6" w:rsidP="0079656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4,11</w:t>
            </w:r>
          </w:p>
        </w:tc>
      </w:tr>
      <w:tr w:rsidR="004B04E6" w:rsidRPr="001B4B14" w:rsidTr="00796562">
        <w:trPr>
          <w:trHeight w:val="315"/>
        </w:trPr>
        <w:tc>
          <w:tcPr>
            <w:tcW w:w="3343" w:type="pct"/>
            <w:tcBorders>
              <w:top w:val="nil"/>
              <w:left w:val="single" w:sz="8" w:space="0" w:color="auto"/>
              <w:bottom w:val="single" w:sz="4" w:space="0" w:color="auto"/>
              <w:right w:val="single" w:sz="8" w:space="0" w:color="auto"/>
            </w:tcBorders>
            <w:shd w:val="clear" w:color="auto" w:fill="auto"/>
            <w:noWrap/>
            <w:vAlign w:val="center"/>
            <w:hideMark/>
          </w:tcPr>
          <w:p w:rsidR="004B04E6" w:rsidRPr="001B4B14" w:rsidRDefault="004B04E6" w:rsidP="0079656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Chocó</w:t>
            </w:r>
          </w:p>
        </w:tc>
        <w:tc>
          <w:tcPr>
            <w:tcW w:w="1657" w:type="pct"/>
            <w:tcBorders>
              <w:top w:val="nil"/>
              <w:left w:val="nil"/>
              <w:bottom w:val="single" w:sz="4" w:space="0" w:color="auto"/>
              <w:right w:val="single" w:sz="8" w:space="0" w:color="auto"/>
            </w:tcBorders>
            <w:shd w:val="clear" w:color="auto" w:fill="auto"/>
            <w:noWrap/>
            <w:vAlign w:val="center"/>
            <w:hideMark/>
          </w:tcPr>
          <w:p w:rsidR="004B04E6" w:rsidRPr="001B4B14" w:rsidRDefault="004B04E6" w:rsidP="0079656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5,45</w:t>
            </w:r>
          </w:p>
        </w:tc>
      </w:tr>
      <w:tr w:rsidR="004B04E6" w:rsidRPr="001B4B14" w:rsidTr="00796562">
        <w:trPr>
          <w:trHeight w:val="315"/>
        </w:trPr>
        <w:tc>
          <w:tcPr>
            <w:tcW w:w="334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B04E6" w:rsidRPr="001B4B14" w:rsidRDefault="004B04E6" w:rsidP="0079656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Putumayo</w:t>
            </w:r>
          </w:p>
        </w:tc>
        <w:tc>
          <w:tcPr>
            <w:tcW w:w="165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B04E6" w:rsidRPr="001B4B14" w:rsidRDefault="004B04E6" w:rsidP="0079656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6,9</w:t>
            </w:r>
          </w:p>
        </w:tc>
      </w:tr>
      <w:tr w:rsidR="004B04E6" w:rsidRPr="001B4B14" w:rsidTr="00796562">
        <w:trPr>
          <w:trHeight w:val="315"/>
        </w:trPr>
        <w:tc>
          <w:tcPr>
            <w:tcW w:w="3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4E6" w:rsidRPr="001B4B14" w:rsidRDefault="004B04E6" w:rsidP="0079656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Cesar</w:t>
            </w:r>
          </w:p>
        </w:tc>
        <w:tc>
          <w:tcPr>
            <w:tcW w:w="16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4E6" w:rsidRPr="001B4B14" w:rsidRDefault="004B04E6" w:rsidP="0079656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11,75</w:t>
            </w:r>
          </w:p>
        </w:tc>
      </w:tr>
      <w:tr w:rsidR="004B04E6" w:rsidRPr="001B4B14" w:rsidTr="00796562">
        <w:trPr>
          <w:trHeight w:val="315"/>
        </w:trPr>
        <w:tc>
          <w:tcPr>
            <w:tcW w:w="3343"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rsidR="004B04E6" w:rsidRPr="001B4B14" w:rsidRDefault="004B04E6" w:rsidP="0079656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Norte de Santander</w:t>
            </w:r>
          </w:p>
        </w:tc>
        <w:tc>
          <w:tcPr>
            <w:tcW w:w="1657" w:type="pct"/>
            <w:tcBorders>
              <w:top w:val="single" w:sz="4" w:space="0" w:color="auto"/>
              <w:left w:val="nil"/>
              <w:bottom w:val="single" w:sz="4" w:space="0" w:color="auto"/>
              <w:right w:val="single" w:sz="8" w:space="0" w:color="auto"/>
            </w:tcBorders>
            <w:shd w:val="clear" w:color="auto" w:fill="auto"/>
            <w:noWrap/>
            <w:vAlign w:val="center"/>
            <w:hideMark/>
          </w:tcPr>
          <w:p w:rsidR="004B04E6" w:rsidRPr="001B4B14" w:rsidRDefault="004B04E6" w:rsidP="0079656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13,36</w:t>
            </w:r>
          </w:p>
        </w:tc>
      </w:tr>
      <w:tr w:rsidR="004B04E6" w:rsidRPr="001B4B14" w:rsidTr="00796562">
        <w:trPr>
          <w:trHeight w:val="315"/>
        </w:trPr>
        <w:tc>
          <w:tcPr>
            <w:tcW w:w="3343"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B04E6" w:rsidRPr="001B4B14" w:rsidRDefault="004B04E6" w:rsidP="0079656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Magdalena</w:t>
            </w:r>
          </w:p>
        </w:tc>
        <w:tc>
          <w:tcPr>
            <w:tcW w:w="1657" w:type="pct"/>
            <w:tcBorders>
              <w:top w:val="single" w:sz="4" w:space="0" w:color="auto"/>
              <w:left w:val="nil"/>
              <w:bottom w:val="single" w:sz="8" w:space="0" w:color="auto"/>
              <w:right w:val="single" w:sz="8" w:space="0" w:color="auto"/>
            </w:tcBorders>
            <w:shd w:val="clear" w:color="auto" w:fill="auto"/>
            <w:noWrap/>
            <w:vAlign w:val="center"/>
            <w:hideMark/>
          </w:tcPr>
          <w:p w:rsidR="004B04E6" w:rsidRPr="001B4B14" w:rsidRDefault="004B04E6" w:rsidP="0079656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14,36</w:t>
            </w:r>
          </w:p>
        </w:tc>
      </w:tr>
      <w:tr w:rsidR="004B04E6" w:rsidRPr="001B4B14" w:rsidTr="00796562">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4B04E6" w:rsidRPr="001B4B14" w:rsidRDefault="004B04E6" w:rsidP="0079656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Santander</w:t>
            </w:r>
          </w:p>
        </w:tc>
        <w:tc>
          <w:tcPr>
            <w:tcW w:w="1657" w:type="pct"/>
            <w:tcBorders>
              <w:top w:val="nil"/>
              <w:left w:val="nil"/>
              <w:bottom w:val="single" w:sz="8" w:space="0" w:color="auto"/>
              <w:right w:val="single" w:sz="8" w:space="0" w:color="auto"/>
            </w:tcBorders>
            <w:shd w:val="clear" w:color="auto" w:fill="auto"/>
            <w:noWrap/>
            <w:vAlign w:val="center"/>
            <w:hideMark/>
          </w:tcPr>
          <w:p w:rsidR="004B04E6" w:rsidRPr="001B4B14" w:rsidRDefault="004B04E6" w:rsidP="0079656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16,54</w:t>
            </w:r>
          </w:p>
        </w:tc>
      </w:tr>
      <w:tr w:rsidR="004B04E6" w:rsidRPr="001B4B14" w:rsidTr="00796562">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4B04E6" w:rsidRPr="001B4B14" w:rsidRDefault="004B04E6" w:rsidP="0079656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Bolívar</w:t>
            </w:r>
          </w:p>
        </w:tc>
        <w:tc>
          <w:tcPr>
            <w:tcW w:w="1657" w:type="pct"/>
            <w:tcBorders>
              <w:top w:val="nil"/>
              <w:left w:val="nil"/>
              <w:bottom w:val="single" w:sz="8" w:space="0" w:color="auto"/>
              <w:right w:val="single" w:sz="8" w:space="0" w:color="auto"/>
            </w:tcBorders>
            <w:shd w:val="clear" w:color="auto" w:fill="auto"/>
            <w:noWrap/>
            <w:vAlign w:val="center"/>
            <w:hideMark/>
          </w:tcPr>
          <w:p w:rsidR="004B04E6" w:rsidRPr="001B4B14" w:rsidRDefault="004B04E6" w:rsidP="0079656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17,92</w:t>
            </w:r>
          </w:p>
        </w:tc>
      </w:tr>
      <w:tr w:rsidR="004B04E6" w:rsidRPr="001B4B14" w:rsidTr="00796562">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4B04E6" w:rsidRPr="001B4B14" w:rsidRDefault="004B04E6" w:rsidP="0079656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Tolima</w:t>
            </w:r>
          </w:p>
        </w:tc>
        <w:tc>
          <w:tcPr>
            <w:tcW w:w="1657" w:type="pct"/>
            <w:tcBorders>
              <w:top w:val="nil"/>
              <w:left w:val="nil"/>
              <w:bottom w:val="single" w:sz="8" w:space="0" w:color="auto"/>
              <w:right w:val="single" w:sz="8" w:space="0" w:color="auto"/>
            </w:tcBorders>
            <w:shd w:val="clear" w:color="auto" w:fill="auto"/>
            <w:noWrap/>
            <w:vAlign w:val="center"/>
            <w:hideMark/>
          </w:tcPr>
          <w:p w:rsidR="004B04E6" w:rsidRPr="001B4B14" w:rsidRDefault="004B04E6" w:rsidP="0079656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18,51</w:t>
            </w:r>
          </w:p>
        </w:tc>
      </w:tr>
      <w:tr w:rsidR="004B04E6" w:rsidRPr="001B4B14" w:rsidTr="00796562">
        <w:trPr>
          <w:trHeight w:val="315"/>
        </w:trPr>
        <w:tc>
          <w:tcPr>
            <w:tcW w:w="3343" w:type="pct"/>
            <w:tcBorders>
              <w:top w:val="nil"/>
              <w:left w:val="single" w:sz="8" w:space="0" w:color="auto"/>
              <w:bottom w:val="single" w:sz="4" w:space="0" w:color="auto"/>
              <w:right w:val="single" w:sz="8" w:space="0" w:color="auto"/>
            </w:tcBorders>
            <w:shd w:val="clear" w:color="auto" w:fill="auto"/>
            <w:noWrap/>
            <w:vAlign w:val="center"/>
            <w:hideMark/>
          </w:tcPr>
          <w:p w:rsidR="004B04E6" w:rsidRPr="001B4B14" w:rsidRDefault="004B04E6" w:rsidP="0079656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La Guajira</w:t>
            </w:r>
          </w:p>
        </w:tc>
        <w:tc>
          <w:tcPr>
            <w:tcW w:w="1657" w:type="pct"/>
            <w:tcBorders>
              <w:top w:val="nil"/>
              <w:left w:val="nil"/>
              <w:bottom w:val="single" w:sz="4" w:space="0" w:color="auto"/>
              <w:right w:val="single" w:sz="8" w:space="0" w:color="auto"/>
            </w:tcBorders>
            <w:shd w:val="clear" w:color="auto" w:fill="auto"/>
            <w:noWrap/>
            <w:vAlign w:val="center"/>
            <w:hideMark/>
          </w:tcPr>
          <w:p w:rsidR="004B04E6" w:rsidRPr="001B4B14" w:rsidRDefault="004B04E6" w:rsidP="0079656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22,21</w:t>
            </w:r>
          </w:p>
        </w:tc>
      </w:tr>
      <w:tr w:rsidR="004B04E6" w:rsidRPr="001B4B14" w:rsidTr="00796562">
        <w:trPr>
          <w:trHeight w:val="315"/>
        </w:trPr>
        <w:tc>
          <w:tcPr>
            <w:tcW w:w="3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4E6" w:rsidRPr="001B4B14" w:rsidRDefault="004B04E6" w:rsidP="0079656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Antioquia</w:t>
            </w:r>
          </w:p>
        </w:tc>
        <w:tc>
          <w:tcPr>
            <w:tcW w:w="16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04E6" w:rsidRPr="001B4B14" w:rsidRDefault="004B04E6" w:rsidP="0079656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22,71</w:t>
            </w:r>
          </w:p>
        </w:tc>
      </w:tr>
      <w:tr w:rsidR="004B04E6" w:rsidRPr="001B4B14" w:rsidTr="00796562">
        <w:trPr>
          <w:trHeight w:val="315"/>
        </w:trPr>
        <w:tc>
          <w:tcPr>
            <w:tcW w:w="3343" w:type="pc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4B04E6" w:rsidRPr="001B4B14" w:rsidRDefault="004B04E6" w:rsidP="0079656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Boyacá</w:t>
            </w:r>
          </w:p>
        </w:tc>
        <w:tc>
          <w:tcPr>
            <w:tcW w:w="1657" w:type="pct"/>
            <w:tcBorders>
              <w:top w:val="single" w:sz="4" w:space="0" w:color="auto"/>
              <w:left w:val="nil"/>
              <w:bottom w:val="single" w:sz="8" w:space="0" w:color="auto"/>
              <w:right w:val="single" w:sz="8" w:space="0" w:color="auto"/>
            </w:tcBorders>
            <w:shd w:val="clear" w:color="auto" w:fill="auto"/>
            <w:noWrap/>
            <w:vAlign w:val="center"/>
            <w:hideMark/>
          </w:tcPr>
          <w:p w:rsidR="004B04E6" w:rsidRPr="001B4B14" w:rsidRDefault="004B04E6" w:rsidP="0079656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23,55</w:t>
            </w:r>
          </w:p>
        </w:tc>
      </w:tr>
      <w:tr w:rsidR="004B04E6" w:rsidRPr="001B4B14" w:rsidTr="00796562">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4B04E6" w:rsidRPr="001B4B14" w:rsidRDefault="004B04E6" w:rsidP="0079656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Huila</w:t>
            </w:r>
          </w:p>
        </w:tc>
        <w:tc>
          <w:tcPr>
            <w:tcW w:w="1657" w:type="pct"/>
            <w:tcBorders>
              <w:top w:val="nil"/>
              <w:left w:val="nil"/>
              <w:bottom w:val="single" w:sz="8" w:space="0" w:color="auto"/>
              <w:right w:val="single" w:sz="8" w:space="0" w:color="auto"/>
            </w:tcBorders>
            <w:shd w:val="clear" w:color="auto" w:fill="auto"/>
            <w:noWrap/>
            <w:vAlign w:val="center"/>
            <w:hideMark/>
          </w:tcPr>
          <w:p w:rsidR="004B04E6" w:rsidRPr="001B4B14" w:rsidRDefault="004B04E6" w:rsidP="0079656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25,56</w:t>
            </w:r>
          </w:p>
        </w:tc>
      </w:tr>
      <w:tr w:rsidR="004B04E6" w:rsidRPr="001B4B14" w:rsidTr="00796562">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4B04E6" w:rsidRPr="001B4B14" w:rsidRDefault="004B04E6" w:rsidP="0079656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Sucre</w:t>
            </w:r>
          </w:p>
        </w:tc>
        <w:tc>
          <w:tcPr>
            <w:tcW w:w="1657" w:type="pct"/>
            <w:tcBorders>
              <w:top w:val="nil"/>
              <w:left w:val="nil"/>
              <w:bottom w:val="single" w:sz="8" w:space="0" w:color="auto"/>
              <w:right w:val="single" w:sz="8" w:space="0" w:color="auto"/>
            </w:tcBorders>
            <w:shd w:val="clear" w:color="auto" w:fill="auto"/>
            <w:noWrap/>
            <w:vAlign w:val="center"/>
            <w:hideMark/>
          </w:tcPr>
          <w:p w:rsidR="004B04E6" w:rsidRPr="001B4B14" w:rsidRDefault="004B04E6" w:rsidP="0079656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26,38</w:t>
            </w:r>
          </w:p>
        </w:tc>
      </w:tr>
      <w:tr w:rsidR="004B04E6" w:rsidRPr="001B4B14" w:rsidTr="00796562">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4B04E6" w:rsidRPr="001B4B14" w:rsidRDefault="004B04E6" w:rsidP="0079656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Cauca</w:t>
            </w:r>
          </w:p>
        </w:tc>
        <w:tc>
          <w:tcPr>
            <w:tcW w:w="1657" w:type="pct"/>
            <w:tcBorders>
              <w:top w:val="nil"/>
              <w:left w:val="nil"/>
              <w:bottom w:val="single" w:sz="8" w:space="0" w:color="auto"/>
              <w:right w:val="single" w:sz="8" w:space="0" w:color="auto"/>
            </w:tcBorders>
            <w:shd w:val="clear" w:color="auto" w:fill="auto"/>
            <w:noWrap/>
            <w:vAlign w:val="center"/>
            <w:hideMark/>
          </w:tcPr>
          <w:p w:rsidR="004B04E6" w:rsidRPr="001B4B14" w:rsidRDefault="004B04E6" w:rsidP="0079656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27,58</w:t>
            </w:r>
          </w:p>
        </w:tc>
      </w:tr>
      <w:tr w:rsidR="004B04E6" w:rsidRPr="001B4B14" w:rsidTr="00796562">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4B04E6" w:rsidRPr="001B4B14" w:rsidRDefault="004B04E6" w:rsidP="0079656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Valle del Cauca</w:t>
            </w:r>
          </w:p>
        </w:tc>
        <w:tc>
          <w:tcPr>
            <w:tcW w:w="1657" w:type="pct"/>
            <w:tcBorders>
              <w:top w:val="nil"/>
              <w:left w:val="nil"/>
              <w:bottom w:val="single" w:sz="8" w:space="0" w:color="auto"/>
              <w:right w:val="single" w:sz="8" w:space="0" w:color="auto"/>
            </w:tcBorders>
            <w:shd w:val="clear" w:color="auto" w:fill="auto"/>
            <w:noWrap/>
            <w:vAlign w:val="center"/>
            <w:hideMark/>
          </w:tcPr>
          <w:p w:rsidR="004B04E6" w:rsidRPr="001B4B14" w:rsidRDefault="004B04E6" w:rsidP="0079656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28,19</w:t>
            </w:r>
          </w:p>
        </w:tc>
      </w:tr>
      <w:tr w:rsidR="004B04E6" w:rsidRPr="001B4B14" w:rsidTr="00796562">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4B04E6" w:rsidRPr="001B4B14" w:rsidRDefault="004B04E6" w:rsidP="0079656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Nariño</w:t>
            </w:r>
          </w:p>
        </w:tc>
        <w:tc>
          <w:tcPr>
            <w:tcW w:w="1657" w:type="pct"/>
            <w:tcBorders>
              <w:top w:val="nil"/>
              <w:left w:val="nil"/>
              <w:bottom w:val="single" w:sz="8" w:space="0" w:color="auto"/>
              <w:right w:val="single" w:sz="8" w:space="0" w:color="auto"/>
            </w:tcBorders>
            <w:shd w:val="clear" w:color="auto" w:fill="auto"/>
            <w:noWrap/>
            <w:vAlign w:val="center"/>
            <w:hideMark/>
          </w:tcPr>
          <w:p w:rsidR="004B04E6" w:rsidRPr="001B4B14" w:rsidRDefault="004B04E6" w:rsidP="0079656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28,37</w:t>
            </w:r>
          </w:p>
        </w:tc>
      </w:tr>
      <w:tr w:rsidR="004B04E6" w:rsidRPr="001B4B14" w:rsidTr="00796562">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4B04E6" w:rsidRPr="001B4B14" w:rsidRDefault="004B04E6" w:rsidP="0079656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Córdoba</w:t>
            </w:r>
          </w:p>
        </w:tc>
        <w:tc>
          <w:tcPr>
            <w:tcW w:w="1657" w:type="pct"/>
            <w:tcBorders>
              <w:top w:val="nil"/>
              <w:left w:val="nil"/>
              <w:bottom w:val="single" w:sz="8" w:space="0" w:color="auto"/>
              <w:right w:val="single" w:sz="8" w:space="0" w:color="auto"/>
            </w:tcBorders>
            <w:shd w:val="clear" w:color="auto" w:fill="auto"/>
            <w:noWrap/>
            <w:vAlign w:val="center"/>
            <w:hideMark/>
          </w:tcPr>
          <w:p w:rsidR="004B04E6" w:rsidRPr="001B4B14" w:rsidRDefault="004B04E6" w:rsidP="0079656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33,2</w:t>
            </w:r>
          </w:p>
        </w:tc>
      </w:tr>
      <w:tr w:rsidR="004B04E6" w:rsidRPr="001B4B14" w:rsidTr="00796562">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4B04E6" w:rsidRPr="001B4B14" w:rsidRDefault="004B04E6" w:rsidP="0079656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Atlántico</w:t>
            </w:r>
          </w:p>
        </w:tc>
        <w:tc>
          <w:tcPr>
            <w:tcW w:w="1657" w:type="pct"/>
            <w:tcBorders>
              <w:top w:val="nil"/>
              <w:left w:val="nil"/>
              <w:bottom w:val="single" w:sz="8" w:space="0" w:color="auto"/>
              <w:right w:val="single" w:sz="8" w:space="0" w:color="auto"/>
            </w:tcBorders>
            <w:shd w:val="clear" w:color="auto" w:fill="auto"/>
            <w:noWrap/>
            <w:vAlign w:val="center"/>
            <w:hideMark/>
          </w:tcPr>
          <w:p w:rsidR="004B04E6" w:rsidRPr="001B4B14" w:rsidRDefault="004B04E6" w:rsidP="0079656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34,4</w:t>
            </w:r>
          </w:p>
        </w:tc>
      </w:tr>
      <w:tr w:rsidR="004B04E6" w:rsidRPr="001B4B14" w:rsidTr="00796562">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4B04E6" w:rsidRPr="001B4B14" w:rsidRDefault="004B04E6" w:rsidP="0079656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Quindio</w:t>
            </w:r>
          </w:p>
        </w:tc>
        <w:tc>
          <w:tcPr>
            <w:tcW w:w="1657" w:type="pct"/>
            <w:tcBorders>
              <w:top w:val="nil"/>
              <w:left w:val="nil"/>
              <w:bottom w:val="single" w:sz="8" w:space="0" w:color="auto"/>
              <w:right w:val="single" w:sz="8" w:space="0" w:color="auto"/>
            </w:tcBorders>
            <w:shd w:val="clear" w:color="auto" w:fill="auto"/>
            <w:noWrap/>
            <w:vAlign w:val="center"/>
            <w:hideMark/>
          </w:tcPr>
          <w:p w:rsidR="004B04E6" w:rsidRPr="001B4B14" w:rsidRDefault="004B04E6" w:rsidP="0079656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36,6</w:t>
            </w:r>
          </w:p>
        </w:tc>
      </w:tr>
      <w:tr w:rsidR="004B04E6" w:rsidRPr="001B4B14" w:rsidTr="00796562">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4B04E6" w:rsidRPr="001B4B14" w:rsidRDefault="004B04E6" w:rsidP="0079656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Caldas</w:t>
            </w:r>
          </w:p>
        </w:tc>
        <w:tc>
          <w:tcPr>
            <w:tcW w:w="1657" w:type="pct"/>
            <w:tcBorders>
              <w:top w:val="nil"/>
              <w:left w:val="nil"/>
              <w:bottom w:val="single" w:sz="8" w:space="0" w:color="auto"/>
              <w:right w:val="single" w:sz="8" w:space="0" w:color="auto"/>
            </w:tcBorders>
            <w:shd w:val="clear" w:color="auto" w:fill="auto"/>
            <w:noWrap/>
            <w:vAlign w:val="center"/>
            <w:hideMark/>
          </w:tcPr>
          <w:p w:rsidR="004B04E6" w:rsidRPr="001B4B14" w:rsidRDefault="004B04E6" w:rsidP="0079656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37,58</w:t>
            </w:r>
          </w:p>
        </w:tc>
      </w:tr>
      <w:tr w:rsidR="004B04E6" w:rsidRPr="001B4B14" w:rsidTr="00796562">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4B04E6" w:rsidRPr="001B4B14" w:rsidRDefault="004B04E6" w:rsidP="0079656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Cundinamarca</w:t>
            </w:r>
          </w:p>
        </w:tc>
        <w:tc>
          <w:tcPr>
            <w:tcW w:w="1657" w:type="pct"/>
            <w:tcBorders>
              <w:top w:val="nil"/>
              <w:left w:val="nil"/>
              <w:bottom w:val="single" w:sz="8" w:space="0" w:color="auto"/>
              <w:right w:val="single" w:sz="8" w:space="0" w:color="auto"/>
            </w:tcBorders>
            <w:shd w:val="clear" w:color="auto" w:fill="auto"/>
            <w:noWrap/>
            <w:vAlign w:val="center"/>
            <w:hideMark/>
          </w:tcPr>
          <w:p w:rsidR="004B04E6" w:rsidRPr="001B4B14" w:rsidRDefault="004B04E6" w:rsidP="0079656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40,24</w:t>
            </w:r>
          </w:p>
        </w:tc>
      </w:tr>
      <w:tr w:rsidR="004B04E6" w:rsidRPr="001B4B14" w:rsidTr="00796562">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4B04E6" w:rsidRPr="001B4B14" w:rsidRDefault="004B04E6" w:rsidP="0079656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Risaralda</w:t>
            </w:r>
          </w:p>
        </w:tc>
        <w:tc>
          <w:tcPr>
            <w:tcW w:w="1657" w:type="pct"/>
            <w:tcBorders>
              <w:top w:val="nil"/>
              <w:left w:val="nil"/>
              <w:bottom w:val="single" w:sz="8" w:space="0" w:color="auto"/>
              <w:right w:val="single" w:sz="8" w:space="0" w:color="auto"/>
            </w:tcBorders>
            <w:shd w:val="clear" w:color="auto" w:fill="auto"/>
            <w:noWrap/>
            <w:vAlign w:val="center"/>
            <w:hideMark/>
          </w:tcPr>
          <w:p w:rsidR="004B04E6" w:rsidRPr="001B4B14" w:rsidRDefault="004B04E6" w:rsidP="0079656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52,7</w:t>
            </w:r>
          </w:p>
        </w:tc>
      </w:tr>
      <w:tr w:rsidR="004B04E6" w:rsidRPr="001B4B14" w:rsidTr="00796562">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4B04E6" w:rsidRPr="001B4B14" w:rsidRDefault="004B04E6" w:rsidP="00796562">
            <w:pPr>
              <w:spacing w:after="0" w:line="240" w:lineRule="auto"/>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Archipiélago de San Andrés</w:t>
            </w:r>
          </w:p>
        </w:tc>
        <w:tc>
          <w:tcPr>
            <w:tcW w:w="1657" w:type="pct"/>
            <w:tcBorders>
              <w:top w:val="nil"/>
              <w:left w:val="nil"/>
              <w:bottom w:val="single" w:sz="8" w:space="0" w:color="auto"/>
              <w:right w:val="single" w:sz="8" w:space="0" w:color="auto"/>
            </w:tcBorders>
            <w:shd w:val="clear" w:color="auto" w:fill="auto"/>
            <w:noWrap/>
            <w:vAlign w:val="center"/>
            <w:hideMark/>
          </w:tcPr>
          <w:p w:rsidR="004B04E6" w:rsidRPr="001B4B14" w:rsidRDefault="004B04E6" w:rsidP="00796562">
            <w:pPr>
              <w:spacing w:after="0" w:line="240" w:lineRule="auto"/>
              <w:jc w:val="center"/>
              <w:rPr>
                <w:rFonts w:ascii="Arial Narrow" w:eastAsia="Times New Roman" w:hAnsi="Arial Narrow" w:cs="Arial"/>
                <w:sz w:val="24"/>
                <w:szCs w:val="24"/>
                <w:lang w:eastAsia="es-CO"/>
              </w:rPr>
            </w:pPr>
            <w:r w:rsidRPr="001B4B14">
              <w:rPr>
                <w:rFonts w:ascii="Arial Narrow" w:eastAsia="Times New Roman" w:hAnsi="Arial Narrow" w:cs="Arial"/>
                <w:sz w:val="24"/>
                <w:szCs w:val="24"/>
                <w:lang w:eastAsia="es-CO"/>
              </w:rPr>
              <w:t>538,32</w:t>
            </w:r>
          </w:p>
        </w:tc>
      </w:tr>
      <w:tr w:rsidR="004B04E6" w:rsidRPr="001B4B14" w:rsidTr="00796562">
        <w:trPr>
          <w:trHeight w:val="315"/>
        </w:trPr>
        <w:tc>
          <w:tcPr>
            <w:tcW w:w="3343" w:type="pct"/>
            <w:tcBorders>
              <w:top w:val="nil"/>
              <w:left w:val="single" w:sz="8" w:space="0" w:color="auto"/>
              <w:bottom w:val="single" w:sz="8" w:space="0" w:color="auto"/>
              <w:right w:val="single" w:sz="8" w:space="0" w:color="auto"/>
            </w:tcBorders>
            <w:shd w:val="clear" w:color="auto" w:fill="auto"/>
            <w:noWrap/>
            <w:vAlign w:val="center"/>
            <w:hideMark/>
          </w:tcPr>
          <w:p w:rsidR="004B04E6" w:rsidRPr="001B4B14" w:rsidRDefault="004B04E6" w:rsidP="00796562">
            <w:pPr>
              <w:spacing w:after="0" w:line="240" w:lineRule="auto"/>
              <w:rPr>
                <w:rFonts w:ascii="Arial Narrow" w:eastAsia="Times New Roman" w:hAnsi="Arial Narrow" w:cs="Arial"/>
                <w:b/>
                <w:bCs/>
                <w:sz w:val="24"/>
                <w:szCs w:val="24"/>
                <w:lang w:eastAsia="es-CO"/>
              </w:rPr>
            </w:pPr>
            <w:r w:rsidRPr="001B4B14">
              <w:rPr>
                <w:rFonts w:ascii="Arial Narrow" w:eastAsia="Times New Roman" w:hAnsi="Arial Narrow" w:cs="Arial"/>
                <w:b/>
                <w:bCs/>
                <w:sz w:val="24"/>
                <w:szCs w:val="24"/>
                <w:lang w:eastAsia="es-CO"/>
              </w:rPr>
              <w:t>Total Nacional</w:t>
            </w:r>
          </w:p>
        </w:tc>
        <w:tc>
          <w:tcPr>
            <w:tcW w:w="1657" w:type="pct"/>
            <w:tcBorders>
              <w:top w:val="nil"/>
              <w:left w:val="nil"/>
              <w:bottom w:val="single" w:sz="8" w:space="0" w:color="auto"/>
              <w:right w:val="single" w:sz="8" w:space="0" w:color="auto"/>
            </w:tcBorders>
            <w:shd w:val="clear" w:color="auto" w:fill="auto"/>
            <w:noWrap/>
            <w:vAlign w:val="center"/>
            <w:hideMark/>
          </w:tcPr>
          <w:p w:rsidR="004B04E6" w:rsidRPr="001B4B14" w:rsidRDefault="004B04E6" w:rsidP="00796562">
            <w:pPr>
              <w:spacing w:after="0" w:line="240" w:lineRule="auto"/>
              <w:jc w:val="center"/>
              <w:rPr>
                <w:rFonts w:ascii="Arial Narrow" w:eastAsia="Times New Roman" w:hAnsi="Arial Narrow" w:cs="Arial"/>
                <w:b/>
                <w:bCs/>
                <w:sz w:val="24"/>
                <w:szCs w:val="24"/>
                <w:lang w:eastAsia="es-CO"/>
              </w:rPr>
            </w:pPr>
            <w:r w:rsidRPr="001B4B14">
              <w:rPr>
                <w:rFonts w:ascii="Arial Narrow" w:eastAsia="Times New Roman" w:hAnsi="Arial Narrow" w:cs="Arial"/>
                <w:b/>
                <w:bCs/>
                <w:sz w:val="24"/>
                <w:szCs w:val="24"/>
                <w:lang w:eastAsia="es-CO"/>
              </w:rPr>
              <w:t>10,08</w:t>
            </w:r>
          </w:p>
        </w:tc>
      </w:tr>
    </w:tbl>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rPr>
        <w:t>Fuente: Departamento Nacional de Estadística</w:t>
      </w:r>
    </w:p>
    <w:p w:rsidR="004B04E6" w:rsidRPr="001B4B14" w:rsidRDefault="004B04E6" w:rsidP="004B04E6">
      <w:pPr>
        <w:pStyle w:val="NormalWeb"/>
        <w:spacing w:before="0" w:beforeAutospacing="0" w:after="0" w:afterAutospacing="0"/>
        <w:jc w:val="both"/>
        <w:rPr>
          <w:rFonts w:ascii="Arial Narrow" w:hAnsi="Arial Narrow"/>
        </w:rPr>
      </w:pPr>
    </w:p>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rPr>
        <w:t>Otra de las razones presentadas por el Gobierno para crear el SGR y su nueva distribución de recursos, fue la supuesta ineficiencia por parte de las entidades territoriales al no cumplir las coberturas mínimas descritas en la ley 142 de 1994.</w:t>
      </w:r>
    </w:p>
    <w:p w:rsidR="004B04E6" w:rsidRPr="001B4B14" w:rsidRDefault="004B04E6" w:rsidP="004B04E6">
      <w:pPr>
        <w:pStyle w:val="NormalWeb"/>
        <w:spacing w:before="0" w:beforeAutospacing="0" w:after="0" w:afterAutospacing="0"/>
        <w:jc w:val="both"/>
        <w:rPr>
          <w:rFonts w:ascii="Arial Narrow" w:hAnsi="Arial Narrow"/>
        </w:rPr>
      </w:pPr>
    </w:p>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rPr>
        <w:t xml:space="preserve">Como se describió anteriormente, el alto nivel de dispersión de las zonas productoras contribuyó a que a éstas le fuera imposible cumplir con los porcentajes mínimos de coberturas teniendo en cuenta la distancia y la dificultad para acceder a las comunidades con los servicios pertinentes. </w:t>
      </w:r>
    </w:p>
    <w:p w:rsidR="004B04E6" w:rsidRPr="001B4B14" w:rsidRDefault="004B04E6" w:rsidP="004B04E6">
      <w:pPr>
        <w:pStyle w:val="NormalWeb"/>
        <w:spacing w:before="0" w:beforeAutospacing="0" w:after="0" w:afterAutospacing="0"/>
        <w:jc w:val="both"/>
        <w:rPr>
          <w:rFonts w:ascii="Arial Narrow" w:hAnsi="Arial Narrow"/>
        </w:rPr>
      </w:pPr>
    </w:p>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rPr>
        <w:t>Para el servicio de agua potable en Cundinamarca para poner un ejemplo, donde existen 40 personas en un área de 1 km”, es altamente viable financiera y técnicamente llegar con el servicio a las comunidades toda vez que éstas se encentran altamente agrupadas, mientras que para zonas como Casanare y Arauca que cuentan con tan sólo 2 o 3 personas por km2 respectivamente, es 38 veces más costoso la construcción de acueductos. En las zonas rurales donde la distancia entre las viviendas es de hasta 10 kilómetros o entre las viviendas y los centros poblados hay distancias de hasta 50, es imposible llegar con agua potable vía red de acueducto; algo similar sucede en el servicio de alcantarillado.</w:t>
      </w:r>
    </w:p>
    <w:p w:rsidR="004B04E6" w:rsidRPr="001B4B14" w:rsidRDefault="004B04E6" w:rsidP="004B04E6">
      <w:pPr>
        <w:pStyle w:val="NormalWeb"/>
        <w:spacing w:before="0" w:beforeAutospacing="0" w:after="0" w:afterAutospacing="0"/>
        <w:jc w:val="both"/>
        <w:rPr>
          <w:rFonts w:ascii="Arial Narrow" w:hAnsi="Arial Narrow"/>
        </w:rPr>
      </w:pPr>
    </w:p>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rPr>
        <w:t>En el caso de la cobertura de educación, las regalías se podían utilizar determinados tipos de inversión como infraestructura y canasta educativa pero no en el pago de profesores, servicios administrativos y funcionamiento. En conclusión, colegios muy bien construidos pero sin con que pagar servicios públicos, servicios administrativos como secretarias, celadores y aseo y lo más importante, sin alumnos por que debido a las altas distancias, los niños no pueden acceder a los colegios.</w:t>
      </w:r>
    </w:p>
    <w:p w:rsidR="004B04E6" w:rsidRPr="001B4B14" w:rsidRDefault="004B04E6" w:rsidP="004B04E6">
      <w:pPr>
        <w:pStyle w:val="NormalWeb"/>
        <w:spacing w:before="0" w:beforeAutospacing="0" w:after="0" w:afterAutospacing="0"/>
        <w:jc w:val="both"/>
        <w:rPr>
          <w:rFonts w:ascii="Arial Narrow" w:hAnsi="Arial Narrow"/>
        </w:rPr>
      </w:pPr>
    </w:p>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rPr>
        <w:t>De manera general, la anterior normatividad limitaba a las entidades a invertir en sectores que son complementarios para acceder a los servicios y cumplir con las coberturas mínimas requeridas, sectores como vías de comunicación, electrificación, vivienda, prevención de desastres, fortalecimiento institucional, etc. Un municipio beneficiario de regalías tenía que invertir el 75% en los sectores descritos: Cobertura en salud, educación, agua potable, alcantarillado y mortalidad infantil, el 10% para el pago de las interventorías y tan sólo el 15% en otros sectores diferentes. Así las cosas, antes del acto legislativo 05 de 2011 se tenían limitaciones en los sectores de inversión, después de 2012 se puede invertir en todo tipo e sectores, pero las entidades productoras ya no cuentas con los recursos.</w:t>
      </w:r>
    </w:p>
    <w:p w:rsidR="004B04E6" w:rsidRPr="001B4B14" w:rsidRDefault="004B04E6" w:rsidP="004B04E6">
      <w:pPr>
        <w:pStyle w:val="NormalWeb"/>
        <w:spacing w:before="0" w:beforeAutospacing="0" w:after="0" w:afterAutospacing="0"/>
        <w:jc w:val="both"/>
        <w:rPr>
          <w:rFonts w:ascii="Arial Narrow" w:hAnsi="Arial Narrow"/>
        </w:rPr>
      </w:pPr>
    </w:p>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rPr>
        <w:t>Un tercer motivo para modificar la distribución de las regalías a través del SGR, fue el presunto uso de las regalías llamado esto como corrupción. Para ello, con el acto legislativo mencionado se crearon los Órganos Colegiados de Administración y Decisión OCAD´s los cuales tienen la tarea de viabilizar los proyectos presentados por las diferentes entidades. De igual forma, se creó el Sistema de Monitoreo, Seguimiento, Control y Evaluación SMSCE encabezado por la Contraloría General de la República y el Departamento Nacional de Planeación para realizar la auditoría pertinente a los recursos del SGR con tal fin de que se ejecuten de manera apropiada.</w:t>
      </w:r>
    </w:p>
    <w:p w:rsidR="004B04E6" w:rsidRPr="001B4B14" w:rsidRDefault="004B04E6" w:rsidP="004B04E6">
      <w:pPr>
        <w:pStyle w:val="NormalWeb"/>
        <w:spacing w:before="0" w:beforeAutospacing="0" w:after="0" w:afterAutospacing="0"/>
        <w:jc w:val="both"/>
        <w:rPr>
          <w:rFonts w:ascii="Arial Narrow" w:hAnsi="Arial Narrow"/>
        </w:rPr>
      </w:pPr>
    </w:p>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rPr>
        <w:t xml:space="preserve">En uno de los más recientes informes de la Contraloría General de la República el cual es fuente de un artículo del periódico El Tiempo, en el sistema financiero existen más de 10,7 billones de pesos sin ejecutar del bienio 2015-2016 debido a la ineficiencia de tanto de las entidades territoriales en la presentación de proyectos como en la demora en la aprobación de los mismos por parte de los  OCAD´s. asegura también el informe, que la presunta corrupción continúa reinando con el actual Sistema General de regalías teniendo en cuenta que el 70% de las adjudicaciones por concurso de méritos y licitaciones son a un único oferente arrojando la auditoría de la CGR que se encontraron 657 hallazgos fiscales por 496 millones de pesos. </w:t>
      </w:r>
      <w:r w:rsidRPr="001B4B14">
        <w:rPr>
          <w:rStyle w:val="Refdenotaalpie"/>
          <w:rFonts w:ascii="Arial Narrow" w:hAnsi="Arial Narrow"/>
        </w:rPr>
        <w:footnoteReference w:id="2"/>
      </w:r>
    </w:p>
    <w:p w:rsidR="004B04E6" w:rsidRPr="001B4B14" w:rsidRDefault="004B04E6" w:rsidP="004B04E6">
      <w:pPr>
        <w:pStyle w:val="NormalWeb"/>
        <w:spacing w:before="0" w:beforeAutospacing="0" w:after="0" w:afterAutospacing="0"/>
        <w:jc w:val="both"/>
        <w:rPr>
          <w:rFonts w:ascii="Arial Narrow" w:hAnsi="Arial Narrow"/>
        </w:rPr>
      </w:pPr>
    </w:p>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rPr>
        <w:t>Pero es que la corrupción no sólo ha sido de las entidades territoriales, también ha estado en el orden del día del nivel central. De acuerdo con un artículo del diario La Opinión, el costo de la corrupción en el caso REFICAR fue de 610.140 millones de pesos</w:t>
      </w:r>
      <w:r w:rsidRPr="001B4B14">
        <w:rPr>
          <w:rStyle w:val="Refdenotaalpie"/>
          <w:rFonts w:ascii="Arial Narrow" w:hAnsi="Arial Narrow"/>
        </w:rPr>
        <w:footnoteReference w:id="3"/>
      </w:r>
      <w:r w:rsidRPr="001B4B14">
        <w:rPr>
          <w:rFonts w:ascii="Arial Narrow" w:hAnsi="Arial Narrow"/>
        </w:rPr>
        <w:t xml:space="preserve"> y en el caso Odebrecht se pagaron más de 11 millones de dólares en sobornos según la revista semana</w:t>
      </w:r>
      <w:r w:rsidRPr="001B4B14">
        <w:rPr>
          <w:rStyle w:val="Refdenotaalpie"/>
          <w:rFonts w:ascii="Arial Narrow" w:hAnsi="Arial Narrow"/>
        </w:rPr>
        <w:footnoteReference w:id="4"/>
      </w:r>
      <w:r w:rsidRPr="001B4B14">
        <w:rPr>
          <w:rFonts w:ascii="Arial Narrow" w:hAnsi="Arial Narrow"/>
        </w:rPr>
        <w:t>. También el Periódico El Tiempo en su edición del 26 de febrero de 2017</w:t>
      </w:r>
      <w:r w:rsidRPr="001B4B14">
        <w:rPr>
          <w:rStyle w:val="Refdenotaalpie"/>
          <w:rFonts w:ascii="Arial Narrow" w:hAnsi="Arial Narrow"/>
        </w:rPr>
        <w:footnoteReference w:id="5"/>
      </w:r>
      <w:r w:rsidRPr="001B4B14">
        <w:rPr>
          <w:rFonts w:ascii="Arial Narrow" w:hAnsi="Arial Narrow"/>
        </w:rPr>
        <w:t xml:space="preserve">, traduce la opinión del señor Contralor Edgardo Maya en el sentido que </w:t>
      </w:r>
      <w:r w:rsidRPr="001B4B14">
        <w:rPr>
          <w:rFonts w:ascii="Arial Narrow" w:hAnsi="Arial Narrow"/>
          <w:b/>
        </w:rPr>
        <w:t>en Colombia la corrupción está en el orden de los 50 billones de pesos al año</w:t>
      </w:r>
      <w:r w:rsidRPr="001B4B14">
        <w:rPr>
          <w:rFonts w:ascii="Arial Narrow" w:hAnsi="Arial Narrow"/>
        </w:rPr>
        <w:t>, casi un billón de pesos por semana; cifra comparada al monto que casi duplica el monto de inversión del Presupuesto general de la Nación y que supera ampliamente la sumatoria de las regalías desde la creación del nuevo sistema a la fecha la cual asciende a 46 billones a 2017 en 6 años de dicho sistema.</w:t>
      </w:r>
    </w:p>
    <w:p w:rsidR="004B04E6" w:rsidRPr="001B4B14" w:rsidRDefault="004B04E6" w:rsidP="004B04E6">
      <w:pPr>
        <w:pStyle w:val="NormalWeb"/>
        <w:spacing w:before="0" w:beforeAutospacing="0" w:after="0" w:afterAutospacing="0"/>
        <w:jc w:val="both"/>
        <w:rPr>
          <w:rFonts w:ascii="Arial Narrow" w:hAnsi="Arial Narrow"/>
        </w:rPr>
      </w:pPr>
    </w:p>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rPr>
        <w:t>En el caso del Fondo de Ciencia, Tecnología e Innovación, el Informe de la Contraloría del año 2016 aseguró que a pesar de que la Ley 1530 de 2012 establece que se debe invertir en proyectos de impacto regional que integren dos o más departamentos, en la práctica sólo el 5% de los proyectos cumple con ésta premisa, el 19% se ejecutan en un solo municipio y el 76% en varios municipio pero de un solo departamento.</w:t>
      </w:r>
    </w:p>
    <w:p w:rsidR="004B04E6" w:rsidRPr="001B4B14" w:rsidRDefault="004B04E6" w:rsidP="004B04E6">
      <w:pPr>
        <w:pStyle w:val="NormalWeb"/>
        <w:spacing w:before="0" w:beforeAutospacing="0" w:after="0" w:afterAutospacing="0"/>
        <w:jc w:val="both"/>
        <w:rPr>
          <w:rFonts w:ascii="Arial Narrow" w:hAnsi="Arial Narrow"/>
        </w:rPr>
      </w:pPr>
    </w:p>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rPr>
        <w:t>Lo anterior quiere decir que la normatividad vigente del SGR, no fue la panacea respecto al presunto incumplimiento del uso de las mismas con el anterior sistema por parte de las entidades beneficiarias de regalías.</w:t>
      </w:r>
    </w:p>
    <w:p w:rsidR="004B04E6" w:rsidRPr="001B4B14" w:rsidRDefault="004B04E6" w:rsidP="004B04E6">
      <w:pPr>
        <w:pStyle w:val="NormalWeb"/>
        <w:spacing w:before="0" w:beforeAutospacing="0" w:after="0" w:afterAutospacing="0"/>
        <w:jc w:val="both"/>
        <w:rPr>
          <w:rFonts w:ascii="Arial Narrow" w:hAnsi="Arial Narrow"/>
        </w:rPr>
      </w:pPr>
    </w:p>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rPr>
        <w:t xml:space="preserve">Si bien es cierto en la exposición de motivos que sustentó el Acto Legislativo 05 de 2011 advertía que las proyecciones no son una bola de cristal, el Ministro de Hacienda Juan Carlos Echeverry Garzón con su lema “Hacia un Ministerio, Ágil, Acertado y Confiable”, al parecer lo único que resultó fue ser ágil pero NO acertado ni confiable; y al Ministro de Minas y Energía tampoco le resultaron sus cálculos. </w:t>
      </w:r>
    </w:p>
    <w:p w:rsidR="004B04E6" w:rsidRPr="001B4B14" w:rsidRDefault="004B04E6" w:rsidP="004B04E6">
      <w:pPr>
        <w:pStyle w:val="NormalWeb"/>
        <w:spacing w:before="0" w:beforeAutospacing="0" w:after="0" w:afterAutospacing="0"/>
        <w:jc w:val="both"/>
        <w:rPr>
          <w:rFonts w:ascii="Arial Narrow" w:hAnsi="Arial Narrow"/>
        </w:rPr>
      </w:pPr>
    </w:p>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rPr>
        <w:t>En su momento se proyectaron altos niveles de inversión en la actividad minera y desde luego mayor producción, paulatino incremento en los precios del barril de petróleo y obviamente mayores ingresos de regalías para todo el país, garantizando incluso que a las regiones productoras se les mantuviera entre los años 2012 y 2014 por lo menos el 50% y entre los años 2015 y 2020 por lo menos el 40% del promedio anual de los años 2007 y 2010 con recursos del Fondo de Desarrollo Regional hasta alcanzar dichos porcentajes o hasta agotar dicho fondo como lo manifiesta el parágrafo 2 transitorio del artículo 2 del Acto Legislativo 05 de 2011 que modificó el artículo 361 de la Constitución Política Colombiana. Lamentablemente para las regiones productoras, los recursos del fondo se han agotado cada año sin alcanzar a cubrir los ingresos “prometidos” en dicho parágrafo y que de alguna manera compensarían a las zonas productoras después de es</w:t>
      </w:r>
      <w:r>
        <w:rPr>
          <w:rFonts w:ascii="Arial Narrow" w:hAnsi="Arial Narrow"/>
        </w:rPr>
        <w:t>a fuerte descompensación aprobada</w:t>
      </w:r>
      <w:r w:rsidRPr="001B4B14">
        <w:rPr>
          <w:rFonts w:ascii="Arial Narrow" w:hAnsi="Arial Narrow"/>
        </w:rPr>
        <w:t xml:space="preserve"> desde el Congreso de la República en 2011.</w:t>
      </w:r>
    </w:p>
    <w:p w:rsidR="004B04E6" w:rsidRPr="001B4B14" w:rsidRDefault="004B04E6" w:rsidP="004B04E6">
      <w:pPr>
        <w:pStyle w:val="NormalWeb"/>
        <w:spacing w:before="0" w:beforeAutospacing="0" w:after="0" w:afterAutospacing="0"/>
        <w:jc w:val="both"/>
        <w:rPr>
          <w:rFonts w:ascii="Arial Narrow" w:hAnsi="Arial Narrow"/>
        </w:rPr>
      </w:pPr>
    </w:p>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rPr>
        <w:t xml:space="preserve">¿Pero por qué no se cumplieron esas proyecciones de ingresos anuales? En primer lugar, porque 2012, primer año de aplicación del Acto Legislativo de 2011, se vio una diferencia del 10% entre la producción diaria de petróleo proyectada y versus la producción que se presupuestó para esa anualidad. De ahí en adelante se ha incrementado esa diferencia negativa a tal punto que para el año 2016, lo proyectado en el acto legislativo en cuestión es de 1.350 mil barriles diarios significando un descenso de la producción del 34%; por su parte a marzo de 2017, el promedio de producción diaria fue de 843 mil barriles frente a una proyección de un millón 400 mil barriles, es decir, una reducción del 40% </w:t>
      </w:r>
    </w:p>
    <w:p w:rsidR="004B04E6" w:rsidRPr="001B4B14" w:rsidRDefault="004B04E6" w:rsidP="004B04E6">
      <w:pPr>
        <w:pStyle w:val="NormalWeb"/>
        <w:spacing w:before="0" w:beforeAutospacing="0" w:after="0" w:afterAutospacing="0"/>
        <w:jc w:val="both"/>
        <w:rPr>
          <w:rFonts w:ascii="Arial Narrow" w:hAnsi="Arial Narrow"/>
        </w:rPr>
      </w:pPr>
    </w:p>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b/>
        </w:rPr>
        <w:t xml:space="preserve">Tabla No 9. Producción Anual de Petróleo Proyectada AL 05/2011 Vs Producción Real </w:t>
      </w:r>
    </w:p>
    <w:tbl>
      <w:tblPr>
        <w:tblW w:w="9172" w:type="dxa"/>
        <w:tblInd w:w="65" w:type="dxa"/>
        <w:tblCellMar>
          <w:left w:w="70" w:type="dxa"/>
          <w:right w:w="70" w:type="dxa"/>
        </w:tblCellMar>
        <w:tblLook w:val="04A0" w:firstRow="1" w:lastRow="0" w:firstColumn="1" w:lastColumn="0" w:noHBand="0" w:noVBand="1"/>
      </w:tblPr>
      <w:tblGrid>
        <w:gridCol w:w="3266"/>
        <w:gridCol w:w="1275"/>
        <w:gridCol w:w="1134"/>
        <w:gridCol w:w="851"/>
        <w:gridCol w:w="850"/>
        <w:gridCol w:w="851"/>
        <w:gridCol w:w="945"/>
      </w:tblGrid>
      <w:tr w:rsidR="004B04E6" w:rsidRPr="001B4B14" w:rsidTr="00796562">
        <w:trPr>
          <w:trHeight w:val="300"/>
        </w:trPr>
        <w:tc>
          <w:tcPr>
            <w:tcW w:w="32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Times New Roman"/>
                <w:b/>
                <w:bCs/>
                <w:sz w:val="24"/>
                <w:szCs w:val="24"/>
                <w:lang w:eastAsia="es-CO"/>
              </w:rPr>
            </w:pPr>
            <w:r w:rsidRPr="001B4B14">
              <w:rPr>
                <w:rFonts w:ascii="Arial Narrow" w:eastAsia="Times New Roman" w:hAnsi="Arial Narrow" w:cs="Times New Roman"/>
                <w:b/>
                <w:bCs/>
                <w:sz w:val="24"/>
                <w:szCs w:val="24"/>
                <w:lang w:eastAsia="es-CO"/>
              </w:rPr>
              <w:t>Años</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b/>
                <w:bCs/>
                <w:sz w:val="24"/>
                <w:szCs w:val="24"/>
                <w:lang w:eastAsia="es-CO"/>
              </w:rPr>
            </w:pPr>
            <w:r w:rsidRPr="001B4B14">
              <w:rPr>
                <w:rFonts w:ascii="Arial Narrow" w:eastAsia="Times New Roman" w:hAnsi="Arial Narrow" w:cs="Times New Roman"/>
                <w:b/>
                <w:bCs/>
                <w:sz w:val="24"/>
                <w:szCs w:val="24"/>
                <w:lang w:eastAsia="es-CO"/>
              </w:rPr>
              <w:t>2012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b/>
                <w:bCs/>
                <w:sz w:val="24"/>
                <w:szCs w:val="24"/>
                <w:lang w:eastAsia="es-CO"/>
              </w:rPr>
            </w:pPr>
            <w:r w:rsidRPr="001B4B14">
              <w:rPr>
                <w:rFonts w:ascii="Arial Narrow" w:eastAsia="Times New Roman" w:hAnsi="Arial Narrow" w:cs="Times New Roman"/>
                <w:b/>
                <w:bCs/>
                <w:sz w:val="24"/>
                <w:szCs w:val="24"/>
                <w:lang w:eastAsia="es-CO"/>
              </w:rPr>
              <w:t>2013</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b/>
                <w:bCs/>
                <w:sz w:val="24"/>
                <w:szCs w:val="24"/>
                <w:lang w:eastAsia="es-CO"/>
              </w:rPr>
            </w:pPr>
            <w:r w:rsidRPr="001B4B14">
              <w:rPr>
                <w:rFonts w:ascii="Arial Narrow" w:eastAsia="Times New Roman" w:hAnsi="Arial Narrow" w:cs="Times New Roman"/>
                <w:b/>
                <w:bCs/>
                <w:sz w:val="24"/>
                <w:szCs w:val="24"/>
                <w:lang w:eastAsia="es-CO"/>
              </w:rPr>
              <w:t>2014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b/>
                <w:bCs/>
                <w:sz w:val="24"/>
                <w:szCs w:val="24"/>
                <w:lang w:eastAsia="es-CO"/>
              </w:rPr>
            </w:pPr>
            <w:r w:rsidRPr="001B4B14">
              <w:rPr>
                <w:rFonts w:ascii="Arial Narrow" w:eastAsia="Times New Roman" w:hAnsi="Arial Narrow" w:cs="Times New Roman"/>
                <w:b/>
                <w:bCs/>
                <w:sz w:val="24"/>
                <w:szCs w:val="24"/>
                <w:lang w:eastAsia="es-CO"/>
              </w:rPr>
              <w:t>2015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b/>
                <w:bCs/>
                <w:sz w:val="24"/>
                <w:szCs w:val="24"/>
                <w:lang w:eastAsia="es-CO"/>
              </w:rPr>
            </w:pPr>
            <w:r w:rsidRPr="001B4B14">
              <w:rPr>
                <w:rFonts w:ascii="Arial Narrow" w:eastAsia="Times New Roman" w:hAnsi="Arial Narrow" w:cs="Times New Roman"/>
                <w:b/>
                <w:bCs/>
                <w:sz w:val="24"/>
                <w:szCs w:val="24"/>
                <w:lang w:eastAsia="es-CO"/>
              </w:rPr>
              <w:t>2016</w:t>
            </w:r>
          </w:p>
        </w:tc>
        <w:tc>
          <w:tcPr>
            <w:tcW w:w="945" w:type="dxa"/>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b/>
                <w:bCs/>
                <w:sz w:val="24"/>
                <w:szCs w:val="24"/>
                <w:lang w:eastAsia="es-CO"/>
              </w:rPr>
            </w:pPr>
            <w:r w:rsidRPr="001B4B14">
              <w:rPr>
                <w:rFonts w:ascii="Arial Narrow" w:eastAsia="Times New Roman" w:hAnsi="Arial Narrow" w:cs="Times New Roman"/>
                <w:b/>
                <w:bCs/>
                <w:sz w:val="24"/>
                <w:szCs w:val="24"/>
                <w:lang w:eastAsia="es-CO"/>
              </w:rPr>
              <w:t>2017</w:t>
            </w:r>
          </w:p>
        </w:tc>
      </w:tr>
      <w:tr w:rsidR="004B04E6" w:rsidRPr="001B4B14" w:rsidTr="00796562">
        <w:trPr>
          <w:trHeight w:val="300"/>
        </w:trPr>
        <w:tc>
          <w:tcPr>
            <w:tcW w:w="3266" w:type="dxa"/>
            <w:tcBorders>
              <w:top w:val="nil"/>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both"/>
              <w:rPr>
                <w:rFonts w:ascii="Arial Narrow" w:eastAsia="Times New Roman" w:hAnsi="Arial Narrow" w:cs="Times New Roman"/>
                <w:b/>
                <w:sz w:val="24"/>
                <w:szCs w:val="24"/>
                <w:lang w:eastAsia="es-CO"/>
              </w:rPr>
            </w:pPr>
            <w:r w:rsidRPr="001B4B14">
              <w:rPr>
                <w:rFonts w:ascii="Arial Narrow" w:eastAsia="Times New Roman" w:hAnsi="Arial Narrow" w:cs="Times New Roman"/>
                <w:b/>
                <w:sz w:val="24"/>
                <w:szCs w:val="24"/>
                <w:lang w:eastAsia="es-CO"/>
              </w:rPr>
              <w:t>Barriles Proyectados</w:t>
            </w:r>
          </w:p>
        </w:tc>
        <w:tc>
          <w:tcPr>
            <w:tcW w:w="1275" w:type="dxa"/>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1.050</w:t>
            </w:r>
          </w:p>
        </w:tc>
        <w:tc>
          <w:tcPr>
            <w:tcW w:w="1134" w:type="dxa"/>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1.100</w:t>
            </w:r>
          </w:p>
        </w:tc>
        <w:tc>
          <w:tcPr>
            <w:tcW w:w="851" w:type="dxa"/>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1.150</w:t>
            </w:r>
          </w:p>
        </w:tc>
        <w:tc>
          <w:tcPr>
            <w:tcW w:w="850" w:type="dxa"/>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1.250</w:t>
            </w:r>
          </w:p>
        </w:tc>
        <w:tc>
          <w:tcPr>
            <w:tcW w:w="851" w:type="dxa"/>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1.350</w:t>
            </w:r>
          </w:p>
        </w:tc>
        <w:tc>
          <w:tcPr>
            <w:tcW w:w="945" w:type="dxa"/>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1.400</w:t>
            </w:r>
          </w:p>
        </w:tc>
      </w:tr>
      <w:tr w:rsidR="004B04E6" w:rsidRPr="001B4B14" w:rsidTr="00796562">
        <w:trPr>
          <w:trHeight w:val="300"/>
        </w:trPr>
        <w:tc>
          <w:tcPr>
            <w:tcW w:w="3266" w:type="dxa"/>
            <w:tcBorders>
              <w:top w:val="nil"/>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both"/>
              <w:rPr>
                <w:rFonts w:ascii="Arial Narrow" w:eastAsia="Times New Roman" w:hAnsi="Arial Narrow" w:cs="Times New Roman"/>
                <w:b/>
                <w:sz w:val="24"/>
                <w:szCs w:val="24"/>
                <w:lang w:eastAsia="es-CO"/>
              </w:rPr>
            </w:pPr>
            <w:r w:rsidRPr="001B4B14">
              <w:rPr>
                <w:rFonts w:ascii="Arial Narrow" w:eastAsia="Times New Roman" w:hAnsi="Arial Narrow" w:cs="Times New Roman"/>
                <w:b/>
                <w:sz w:val="24"/>
                <w:szCs w:val="24"/>
                <w:lang w:eastAsia="es-CO"/>
              </w:rPr>
              <w:t>Barriles Producidos</w:t>
            </w:r>
          </w:p>
        </w:tc>
        <w:tc>
          <w:tcPr>
            <w:tcW w:w="1275" w:type="dxa"/>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944</w:t>
            </w:r>
          </w:p>
        </w:tc>
        <w:tc>
          <w:tcPr>
            <w:tcW w:w="1134" w:type="dxa"/>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1004</w:t>
            </w:r>
          </w:p>
        </w:tc>
        <w:tc>
          <w:tcPr>
            <w:tcW w:w="851" w:type="dxa"/>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990</w:t>
            </w:r>
          </w:p>
        </w:tc>
        <w:tc>
          <w:tcPr>
            <w:tcW w:w="850" w:type="dxa"/>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1006</w:t>
            </w:r>
          </w:p>
        </w:tc>
        <w:tc>
          <w:tcPr>
            <w:tcW w:w="851" w:type="dxa"/>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886</w:t>
            </w:r>
          </w:p>
        </w:tc>
        <w:tc>
          <w:tcPr>
            <w:tcW w:w="945" w:type="dxa"/>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843*</w:t>
            </w:r>
          </w:p>
        </w:tc>
      </w:tr>
      <w:tr w:rsidR="004B04E6" w:rsidRPr="001B4B14" w:rsidTr="00796562">
        <w:trPr>
          <w:trHeight w:val="300"/>
        </w:trPr>
        <w:tc>
          <w:tcPr>
            <w:tcW w:w="3266" w:type="dxa"/>
            <w:tcBorders>
              <w:top w:val="nil"/>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both"/>
              <w:rPr>
                <w:rFonts w:ascii="Arial Narrow" w:eastAsia="Times New Roman" w:hAnsi="Arial Narrow" w:cs="Times New Roman"/>
                <w:b/>
                <w:sz w:val="24"/>
                <w:szCs w:val="24"/>
                <w:lang w:eastAsia="es-CO"/>
              </w:rPr>
            </w:pPr>
            <w:r w:rsidRPr="001B4B14">
              <w:rPr>
                <w:rFonts w:ascii="Arial Narrow" w:eastAsia="Times New Roman" w:hAnsi="Arial Narrow" w:cs="Times New Roman"/>
                <w:b/>
                <w:sz w:val="24"/>
                <w:szCs w:val="24"/>
                <w:lang w:eastAsia="es-CO"/>
              </w:rPr>
              <w:t>Diferencia Absoluta</w:t>
            </w:r>
          </w:p>
        </w:tc>
        <w:tc>
          <w:tcPr>
            <w:tcW w:w="1275" w:type="dxa"/>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(106)</w:t>
            </w:r>
          </w:p>
        </w:tc>
        <w:tc>
          <w:tcPr>
            <w:tcW w:w="1134" w:type="dxa"/>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(96)</w:t>
            </w:r>
          </w:p>
        </w:tc>
        <w:tc>
          <w:tcPr>
            <w:tcW w:w="851" w:type="dxa"/>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(160)</w:t>
            </w:r>
          </w:p>
        </w:tc>
        <w:tc>
          <w:tcPr>
            <w:tcW w:w="850" w:type="dxa"/>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(244)</w:t>
            </w:r>
          </w:p>
        </w:tc>
        <w:tc>
          <w:tcPr>
            <w:tcW w:w="851" w:type="dxa"/>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(464)</w:t>
            </w:r>
          </w:p>
        </w:tc>
        <w:tc>
          <w:tcPr>
            <w:tcW w:w="945" w:type="dxa"/>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(557)</w:t>
            </w:r>
          </w:p>
        </w:tc>
      </w:tr>
      <w:tr w:rsidR="004B04E6" w:rsidRPr="001B4B14" w:rsidTr="00796562">
        <w:trPr>
          <w:trHeight w:val="300"/>
        </w:trPr>
        <w:tc>
          <w:tcPr>
            <w:tcW w:w="3266" w:type="dxa"/>
            <w:tcBorders>
              <w:top w:val="nil"/>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both"/>
              <w:rPr>
                <w:rFonts w:ascii="Arial Narrow" w:eastAsia="Times New Roman" w:hAnsi="Arial Narrow" w:cs="Times New Roman"/>
                <w:b/>
                <w:sz w:val="24"/>
                <w:szCs w:val="24"/>
                <w:lang w:eastAsia="es-CO"/>
              </w:rPr>
            </w:pPr>
            <w:r w:rsidRPr="001B4B14">
              <w:rPr>
                <w:rFonts w:ascii="Arial Narrow" w:eastAsia="Times New Roman" w:hAnsi="Arial Narrow" w:cs="Times New Roman"/>
                <w:b/>
                <w:sz w:val="24"/>
                <w:szCs w:val="24"/>
                <w:lang w:eastAsia="es-CO"/>
              </w:rPr>
              <w:t>Diferencia Relativa</w:t>
            </w:r>
          </w:p>
        </w:tc>
        <w:tc>
          <w:tcPr>
            <w:tcW w:w="1275" w:type="dxa"/>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-10%</w:t>
            </w:r>
          </w:p>
        </w:tc>
        <w:tc>
          <w:tcPr>
            <w:tcW w:w="1134" w:type="dxa"/>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-9%</w:t>
            </w:r>
          </w:p>
        </w:tc>
        <w:tc>
          <w:tcPr>
            <w:tcW w:w="851" w:type="dxa"/>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-14%</w:t>
            </w:r>
          </w:p>
        </w:tc>
        <w:tc>
          <w:tcPr>
            <w:tcW w:w="850" w:type="dxa"/>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-20%</w:t>
            </w:r>
          </w:p>
        </w:tc>
        <w:tc>
          <w:tcPr>
            <w:tcW w:w="851" w:type="dxa"/>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-34%</w:t>
            </w:r>
          </w:p>
        </w:tc>
        <w:tc>
          <w:tcPr>
            <w:tcW w:w="945" w:type="dxa"/>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sz w:val="24"/>
                <w:szCs w:val="24"/>
                <w:lang w:eastAsia="es-CO"/>
              </w:rPr>
            </w:pPr>
            <w:r w:rsidRPr="001B4B14">
              <w:rPr>
                <w:rFonts w:ascii="Arial Narrow" w:eastAsia="Times New Roman" w:hAnsi="Arial Narrow" w:cs="Times New Roman"/>
                <w:sz w:val="24"/>
                <w:szCs w:val="24"/>
                <w:lang w:eastAsia="es-CO"/>
              </w:rPr>
              <w:t>-40%</w:t>
            </w:r>
          </w:p>
        </w:tc>
      </w:tr>
    </w:tbl>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rPr>
        <w:t>Fuente: Consultar</w:t>
      </w:r>
      <w:r w:rsidRPr="001B4B14">
        <w:rPr>
          <w:rStyle w:val="Refdenotaalpie"/>
          <w:rFonts w:ascii="Arial Narrow" w:hAnsi="Arial Narrow"/>
        </w:rPr>
        <w:footnoteReference w:id="6"/>
      </w:r>
    </w:p>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rPr>
        <w:t>*  Promedio a marzo de 2017</w:t>
      </w:r>
    </w:p>
    <w:p w:rsidR="004B04E6" w:rsidRPr="001B4B14" w:rsidRDefault="004B04E6" w:rsidP="004B04E6">
      <w:pPr>
        <w:pStyle w:val="NormalWeb"/>
        <w:spacing w:before="0" w:beforeAutospacing="0" w:after="0" w:afterAutospacing="0"/>
        <w:jc w:val="both"/>
        <w:rPr>
          <w:rFonts w:ascii="Arial Narrow" w:hAnsi="Arial Narrow"/>
        </w:rPr>
      </w:pPr>
    </w:p>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rPr>
        <w:t>Ahora si nos referimos al precio del petróleo, las proyecciones de los ministerios de Hacienda y de Minas y energía también tuvieron un desfase bastante significativo lo cual ha afectado principalmente a las regiones productoras. El precio del petróleo comenzó un descenso vertiginoso a partir del segundo semestre de 2014 después de que estuvo por encima de los 100 dólares a tal punto de ubicarse en los primeros meses de 2016 en 27,9 dólares por barril, registrando el nivel más bajo desde noviembre de 2003 de acuerdo al Marco Fiscal de Mediano Plazo 2017 y promediando para ese año un valor de 45,1 después de que en las proyecciones se registraba un valor de 84 dólares por barril para 2014. De acuerdo también al mencionado documento de proyección financiera a 10 años, para el 2017 se proyecta un precio promedio de 51 dólares contra una proyección de 88 dólares por barril realizados por el ministerio que lucía su lema “</w:t>
      </w:r>
      <w:r w:rsidRPr="001B4B14">
        <w:rPr>
          <w:rFonts w:ascii="Arial Narrow" w:hAnsi="Arial Narrow" w:cs="Arial Narrow"/>
          <w:b/>
          <w:bCs/>
        </w:rPr>
        <w:t xml:space="preserve">HACIA UN MINISTERIO AGIL, ACERTADO Y CONFIABLE” </w:t>
      </w:r>
      <w:r w:rsidRPr="001B4B14">
        <w:rPr>
          <w:rFonts w:ascii="Arial Narrow" w:hAnsi="Arial Narrow" w:cs="Arial Narrow"/>
          <w:bCs/>
        </w:rPr>
        <w:t>y el ministerio de Minas y Energía.</w:t>
      </w:r>
    </w:p>
    <w:p w:rsidR="004B04E6" w:rsidRPr="001B4B14" w:rsidRDefault="004B04E6" w:rsidP="004B04E6">
      <w:pPr>
        <w:pStyle w:val="NormalWeb"/>
        <w:spacing w:before="0" w:beforeAutospacing="0" w:after="0" w:afterAutospacing="0"/>
        <w:jc w:val="both"/>
        <w:rPr>
          <w:rFonts w:ascii="Arial Narrow" w:hAnsi="Arial Narrow"/>
          <w:b/>
        </w:rPr>
      </w:pPr>
    </w:p>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rPr>
        <w:t xml:space="preserve">Como consecuencia de lo anterior, las proyecciones de ingresos del SGR se vieron reducidas en el 40% en el bienio 2015-2016 y en el 46% en lo presupuestado en el bienio 2017-2018 como lo muestra la tabla No 10 con las consecuencias nefastas tanto para las finanzas tanto nacionales como para las finanzas de las entidades denominadas productoras. </w:t>
      </w:r>
    </w:p>
    <w:p w:rsidR="004B04E6" w:rsidRPr="001B4B14" w:rsidRDefault="004B04E6" w:rsidP="004B04E6">
      <w:pPr>
        <w:pStyle w:val="NormalWeb"/>
        <w:spacing w:before="0" w:beforeAutospacing="0" w:after="0" w:afterAutospacing="0"/>
        <w:jc w:val="both"/>
        <w:rPr>
          <w:rFonts w:ascii="Arial Narrow" w:hAnsi="Arial Narrow"/>
        </w:rPr>
      </w:pPr>
    </w:p>
    <w:p w:rsidR="004B04E6" w:rsidRPr="001B4B14" w:rsidRDefault="004B04E6" w:rsidP="004B04E6">
      <w:pPr>
        <w:pStyle w:val="NormalWeb"/>
        <w:spacing w:before="0" w:beforeAutospacing="0" w:after="0" w:afterAutospacing="0"/>
        <w:jc w:val="both"/>
        <w:rPr>
          <w:rFonts w:ascii="Arial Narrow" w:hAnsi="Arial Narrow"/>
          <w:b/>
        </w:rPr>
      </w:pPr>
      <w:r w:rsidRPr="001B4B14">
        <w:rPr>
          <w:rFonts w:ascii="Arial Narrow" w:hAnsi="Arial Narrow"/>
          <w:b/>
        </w:rPr>
        <w:t>Tabla No 10. Ingresos SGR Proyectados Vs Ingresos SGR Aprobados</w:t>
      </w:r>
    </w:p>
    <w:tbl>
      <w:tblPr>
        <w:tblW w:w="5000" w:type="pct"/>
        <w:tblCellMar>
          <w:left w:w="70" w:type="dxa"/>
          <w:right w:w="70" w:type="dxa"/>
        </w:tblCellMar>
        <w:tblLook w:val="04A0" w:firstRow="1" w:lastRow="0" w:firstColumn="1" w:lastColumn="0" w:noHBand="0" w:noVBand="1"/>
      </w:tblPr>
      <w:tblGrid>
        <w:gridCol w:w="2135"/>
        <w:gridCol w:w="724"/>
        <w:gridCol w:w="746"/>
        <w:gridCol w:w="746"/>
        <w:gridCol w:w="746"/>
        <w:gridCol w:w="746"/>
        <w:gridCol w:w="749"/>
        <w:gridCol w:w="749"/>
        <w:gridCol w:w="746"/>
        <w:gridCol w:w="741"/>
      </w:tblGrid>
      <w:tr w:rsidR="004B04E6" w:rsidRPr="001B4B14" w:rsidTr="00796562">
        <w:trPr>
          <w:trHeight w:val="300"/>
        </w:trPr>
        <w:tc>
          <w:tcPr>
            <w:tcW w:w="7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Times New Roman"/>
                <w:b/>
                <w:lang w:eastAsia="es-CO"/>
              </w:rPr>
            </w:pPr>
            <w:r w:rsidRPr="001B4B14">
              <w:rPr>
                <w:rFonts w:ascii="Arial Narrow" w:eastAsia="Times New Roman" w:hAnsi="Arial Narrow" w:cs="Times New Roman"/>
                <w:b/>
                <w:lang w:eastAsia="es-CO"/>
              </w:rPr>
              <w:t>Años</w:t>
            </w:r>
          </w:p>
        </w:tc>
        <w:tc>
          <w:tcPr>
            <w:tcW w:w="458"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b/>
                <w:lang w:eastAsia="es-CO"/>
              </w:rPr>
            </w:pPr>
            <w:r w:rsidRPr="001B4B14">
              <w:rPr>
                <w:rFonts w:ascii="Arial Narrow" w:eastAsia="Times New Roman" w:hAnsi="Arial Narrow" w:cs="Times New Roman"/>
                <w:b/>
                <w:lang w:eastAsia="es-CO"/>
              </w:rPr>
              <w:t>2012</w:t>
            </w:r>
          </w:p>
        </w:tc>
        <w:tc>
          <w:tcPr>
            <w:tcW w:w="470"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b/>
                <w:lang w:eastAsia="es-CO"/>
              </w:rPr>
            </w:pPr>
            <w:r w:rsidRPr="001B4B14">
              <w:rPr>
                <w:rFonts w:ascii="Arial Narrow" w:eastAsia="Times New Roman" w:hAnsi="Arial Narrow" w:cs="Times New Roman"/>
                <w:b/>
                <w:lang w:eastAsia="es-CO"/>
              </w:rPr>
              <w:t>2013</w:t>
            </w:r>
          </w:p>
        </w:tc>
        <w:tc>
          <w:tcPr>
            <w:tcW w:w="470"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b/>
                <w:lang w:eastAsia="es-CO"/>
              </w:rPr>
            </w:pPr>
            <w:r w:rsidRPr="001B4B14">
              <w:rPr>
                <w:rFonts w:ascii="Arial Narrow" w:eastAsia="Times New Roman" w:hAnsi="Arial Narrow" w:cs="Times New Roman"/>
                <w:b/>
                <w:lang w:eastAsia="es-CO"/>
              </w:rPr>
              <w:t>2014</w:t>
            </w:r>
          </w:p>
        </w:tc>
        <w:tc>
          <w:tcPr>
            <w:tcW w:w="470"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b/>
                <w:lang w:eastAsia="es-CO"/>
              </w:rPr>
            </w:pPr>
            <w:r w:rsidRPr="001B4B14">
              <w:rPr>
                <w:rFonts w:ascii="Arial Narrow" w:eastAsia="Times New Roman" w:hAnsi="Arial Narrow" w:cs="Times New Roman"/>
                <w:b/>
                <w:lang w:eastAsia="es-CO"/>
              </w:rPr>
              <w:t>2015</w:t>
            </w:r>
          </w:p>
        </w:tc>
        <w:tc>
          <w:tcPr>
            <w:tcW w:w="470"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b/>
                <w:lang w:eastAsia="es-CO"/>
              </w:rPr>
            </w:pPr>
            <w:r w:rsidRPr="001B4B14">
              <w:rPr>
                <w:rFonts w:ascii="Arial Narrow" w:eastAsia="Times New Roman" w:hAnsi="Arial Narrow" w:cs="Times New Roman"/>
                <w:b/>
                <w:lang w:eastAsia="es-CO"/>
              </w:rPr>
              <w:t>2016</w:t>
            </w:r>
          </w:p>
        </w:tc>
        <w:tc>
          <w:tcPr>
            <w:tcW w:w="472"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b/>
                <w:lang w:eastAsia="es-CO"/>
              </w:rPr>
            </w:pPr>
            <w:r w:rsidRPr="001B4B14">
              <w:rPr>
                <w:rFonts w:ascii="Arial Narrow" w:eastAsia="Times New Roman" w:hAnsi="Arial Narrow" w:cs="Times New Roman"/>
                <w:b/>
                <w:lang w:eastAsia="es-CO"/>
              </w:rPr>
              <w:t>2017</w:t>
            </w:r>
          </w:p>
        </w:tc>
        <w:tc>
          <w:tcPr>
            <w:tcW w:w="472"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b/>
                <w:lang w:eastAsia="es-CO"/>
              </w:rPr>
            </w:pPr>
            <w:r w:rsidRPr="001B4B14">
              <w:rPr>
                <w:rFonts w:ascii="Arial Narrow" w:eastAsia="Times New Roman" w:hAnsi="Arial Narrow" w:cs="Times New Roman"/>
                <w:b/>
                <w:lang w:eastAsia="es-CO"/>
              </w:rPr>
              <w:t>2018</w:t>
            </w:r>
          </w:p>
        </w:tc>
        <w:tc>
          <w:tcPr>
            <w:tcW w:w="470"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b/>
                <w:lang w:eastAsia="es-CO"/>
              </w:rPr>
            </w:pPr>
            <w:r w:rsidRPr="001B4B14">
              <w:rPr>
                <w:rFonts w:ascii="Arial Narrow" w:eastAsia="Times New Roman" w:hAnsi="Arial Narrow" w:cs="Times New Roman"/>
                <w:b/>
                <w:lang w:eastAsia="es-CO"/>
              </w:rPr>
              <w:t>2019</w:t>
            </w:r>
          </w:p>
        </w:tc>
        <w:tc>
          <w:tcPr>
            <w:tcW w:w="470" w:type="pct"/>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b/>
                <w:lang w:eastAsia="es-CO"/>
              </w:rPr>
            </w:pPr>
            <w:r w:rsidRPr="001B4B14">
              <w:rPr>
                <w:rFonts w:ascii="Arial Narrow" w:eastAsia="Times New Roman" w:hAnsi="Arial Narrow" w:cs="Times New Roman"/>
                <w:b/>
                <w:lang w:eastAsia="es-CO"/>
              </w:rPr>
              <w:t>2020</w:t>
            </w:r>
          </w:p>
        </w:tc>
      </w:tr>
      <w:tr w:rsidR="004B04E6" w:rsidRPr="001B4B14" w:rsidTr="00796562">
        <w:trPr>
          <w:trHeight w:val="330"/>
        </w:trPr>
        <w:tc>
          <w:tcPr>
            <w:tcW w:w="781" w:type="pct"/>
            <w:tcBorders>
              <w:top w:val="nil"/>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Times New Roman"/>
                <w:b/>
                <w:lang w:eastAsia="es-CO"/>
              </w:rPr>
            </w:pPr>
            <w:r w:rsidRPr="001B4B14">
              <w:rPr>
                <w:rFonts w:ascii="Arial Narrow" w:eastAsia="Times New Roman" w:hAnsi="Arial Narrow" w:cs="Times New Roman"/>
                <w:b/>
                <w:lang w:eastAsia="es-CO"/>
              </w:rPr>
              <w:t>Proyección AL 05/2011</w:t>
            </w:r>
          </w:p>
        </w:tc>
        <w:tc>
          <w:tcPr>
            <w:tcW w:w="458"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9.181</w:t>
            </w:r>
          </w:p>
        </w:tc>
        <w:tc>
          <w:tcPr>
            <w:tcW w:w="470"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9.809</w:t>
            </w:r>
          </w:p>
        </w:tc>
        <w:tc>
          <w:tcPr>
            <w:tcW w:w="470"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9.899</w:t>
            </w:r>
          </w:p>
        </w:tc>
        <w:tc>
          <w:tcPr>
            <w:tcW w:w="470"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10.363</w:t>
            </w:r>
          </w:p>
        </w:tc>
        <w:tc>
          <w:tcPr>
            <w:tcW w:w="470"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10.389</w:t>
            </w:r>
          </w:p>
        </w:tc>
        <w:tc>
          <w:tcPr>
            <w:tcW w:w="47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10.733</w:t>
            </w:r>
          </w:p>
        </w:tc>
        <w:tc>
          <w:tcPr>
            <w:tcW w:w="472"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11.054</w:t>
            </w:r>
          </w:p>
        </w:tc>
        <w:tc>
          <w:tcPr>
            <w:tcW w:w="470"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11.429</w:t>
            </w:r>
          </w:p>
        </w:tc>
        <w:tc>
          <w:tcPr>
            <w:tcW w:w="470"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11.988</w:t>
            </w:r>
          </w:p>
        </w:tc>
      </w:tr>
      <w:tr w:rsidR="004B04E6" w:rsidRPr="001B4B14" w:rsidTr="00796562">
        <w:trPr>
          <w:trHeight w:val="330"/>
        </w:trPr>
        <w:tc>
          <w:tcPr>
            <w:tcW w:w="781" w:type="pct"/>
            <w:tcBorders>
              <w:top w:val="nil"/>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Times New Roman"/>
                <w:b/>
                <w:lang w:eastAsia="es-CO"/>
              </w:rPr>
            </w:pPr>
            <w:r w:rsidRPr="001B4B14">
              <w:rPr>
                <w:rFonts w:ascii="Arial Narrow" w:eastAsia="Times New Roman" w:hAnsi="Arial Narrow" w:cs="Times New Roman"/>
                <w:b/>
                <w:lang w:eastAsia="es-CO"/>
              </w:rPr>
              <w:t>Bienio</w:t>
            </w:r>
          </w:p>
        </w:tc>
        <w:tc>
          <w:tcPr>
            <w:tcW w:w="458"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9.181</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19.708</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20.752</w:t>
            </w:r>
          </w:p>
        </w:tc>
        <w:tc>
          <w:tcPr>
            <w:tcW w:w="944" w:type="pct"/>
            <w:gridSpan w:val="2"/>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21.787</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23.417</w:t>
            </w:r>
          </w:p>
        </w:tc>
      </w:tr>
      <w:tr w:rsidR="004B04E6" w:rsidRPr="001B4B14" w:rsidTr="00796562">
        <w:trPr>
          <w:trHeight w:val="330"/>
        </w:trPr>
        <w:tc>
          <w:tcPr>
            <w:tcW w:w="781" w:type="pct"/>
            <w:tcBorders>
              <w:top w:val="nil"/>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Times New Roman"/>
                <w:b/>
                <w:lang w:eastAsia="es-CO"/>
              </w:rPr>
            </w:pPr>
            <w:r w:rsidRPr="001B4B14">
              <w:rPr>
                <w:rFonts w:ascii="Arial Narrow" w:eastAsia="Times New Roman" w:hAnsi="Arial Narrow" w:cs="Times New Roman"/>
                <w:b/>
                <w:lang w:eastAsia="es-CO"/>
              </w:rPr>
              <w:t>Presupuesto Aprobado</w:t>
            </w:r>
          </w:p>
        </w:tc>
        <w:tc>
          <w:tcPr>
            <w:tcW w:w="458"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9.100</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18.426</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12.495</w:t>
            </w:r>
          </w:p>
        </w:tc>
        <w:tc>
          <w:tcPr>
            <w:tcW w:w="944" w:type="pct"/>
            <w:gridSpan w:val="2"/>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11.759</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13.493</w:t>
            </w:r>
          </w:p>
        </w:tc>
      </w:tr>
      <w:tr w:rsidR="004B04E6" w:rsidRPr="001B4B14" w:rsidTr="00796562">
        <w:trPr>
          <w:trHeight w:val="300"/>
        </w:trPr>
        <w:tc>
          <w:tcPr>
            <w:tcW w:w="781" w:type="pct"/>
            <w:tcBorders>
              <w:top w:val="nil"/>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Times New Roman"/>
                <w:b/>
                <w:lang w:eastAsia="es-CO"/>
              </w:rPr>
            </w:pPr>
            <w:r w:rsidRPr="001B4B14">
              <w:rPr>
                <w:rFonts w:ascii="Arial Narrow" w:eastAsia="Times New Roman" w:hAnsi="Arial Narrow" w:cs="Times New Roman"/>
                <w:b/>
                <w:lang w:eastAsia="es-CO"/>
              </w:rPr>
              <w:t>Diferencia Absoluta</w:t>
            </w:r>
          </w:p>
        </w:tc>
        <w:tc>
          <w:tcPr>
            <w:tcW w:w="458"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(81)</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(1.282)</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(8.257)</w:t>
            </w:r>
          </w:p>
        </w:tc>
        <w:tc>
          <w:tcPr>
            <w:tcW w:w="944" w:type="pct"/>
            <w:gridSpan w:val="2"/>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(10.028)</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(9.924)</w:t>
            </w:r>
          </w:p>
        </w:tc>
      </w:tr>
      <w:tr w:rsidR="004B04E6" w:rsidRPr="001B4B14" w:rsidTr="00796562">
        <w:trPr>
          <w:trHeight w:val="300"/>
        </w:trPr>
        <w:tc>
          <w:tcPr>
            <w:tcW w:w="781" w:type="pct"/>
            <w:tcBorders>
              <w:top w:val="nil"/>
              <w:left w:val="single" w:sz="4" w:space="0" w:color="auto"/>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rPr>
                <w:rFonts w:ascii="Arial Narrow" w:eastAsia="Times New Roman" w:hAnsi="Arial Narrow" w:cs="Times New Roman"/>
                <w:b/>
                <w:lang w:eastAsia="es-CO"/>
              </w:rPr>
            </w:pPr>
            <w:r w:rsidRPr="001B4B14">
              <w:rPr>
                <w:rFonts w:ascii="Arial Narrow" w:eastAsia="Times New Roman" w:hAnsi="Arial Narrow" w:cs="Times New Roman"/>
                <w:b/>
                <w:lang w:eastAsia="es-CO"/>
              </w:rPr>
              <w:t>Diferencia Relativa</w:t>
            </w:r>
          </w:p>
        </w:tc>
        <w:tc>
          <w:tcPr>
            <w:tcW w:w="458" w:type="pct"/>
            <w:tcBorders>
              <w:top w:val="nil"/>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-1%</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-7%</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-40%</w:t>
            </w:r>
          </w:p>
        </w:tc>
        <w:tc>
          <w:tcPr>
            <w:tcW w:w="944" w:type="pct"/>
            <w:gridSpan w:val="2"/>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-46%</w:t>
            </w:r>
          </w:p>
        </w:tc>
        <w:tc>
          <w:tcPr>
            <w:tcW w:w="939" w:type="pct"/>
            <w:gridSpan w:val="2"/>
            <w:tcBorders>
              <w:top w:val="single" w:sz="4" w:space="0" w:color="auto"/>
              <w:left w:val="nil"/>
              <w:bottom w:val="single" w:sz="4" w:space="0" w:color="auto"/>
              <w:right w:val="single" w:sz="4" w:space="0" w:color="auto"/>
            </w:tcBorders>
            <w:shd w:val="clear" w:color="auto" w:fill="auto"/>
            <w:noWrap/>
            <w:vAlign w:val="bottom"/>
            <w:hideMark/>
          </w:tcPr>
          <w:p w:rsidR="004B04E6" w:rsidRPr="001B4B14" w:rsidRDefault="004B04E6" w:rsidP="00796562">
            <w:pPr>
              <w:spacing w:after="0" w:line="240" w:lineRule="auto"/>
              <w:jc w:val="center"/>
              <w:rPr>
                <w:rFonts w:ascii="Arial Narrow" w:eastAsia="Times New Roman" w:hAnsi="Arial Narrow" w:cs="Times New Roman"/>
                <w:lang w:eastAsia="es-CO"/>
              </w:rPr>
            </w:pPr>
            <w:r w:rsidRPr="001B4B14">
              <w:rPr>
                <w:rFonts w:ascii="Arial Narrow" w:eastAsia="Times New Roman" w:hAnsi="Arial Narrow" w:cs="Times New Roman"/>
                <w:lang w:eastAsia="es-CO"/>
              </w:rPr>
              <w:t>-42%</w:t>
            </w:r>
          </w:p>
        </w:tc>
      </w:tr>
    </w:tbl>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rPr>
        <w:t>Fuente: Exposición de Motivos Acto Legislativo 05/2011 y Presupuestos SGR Aprobados</w:t>
      </w:r>
    </w:p>
    <w:p w:rsidR="004B04E6" w:rsidRPr="001B4B14" w:rsidRDefault="004B04E6" w:rsidP="004B04E6">
      <w:pPr>
        <w:pStyle w:val="NormalWeb"/>
        <w:spacing w:before="0" w:beforeAutospacing="0" w:after="0" w:afterAutospacing="0"/>
        <w:jc w:val="both"/>
        <w:rPr>
          <w:rFonts w:ascii="Arial Narrow" w:hAnsi="Arial Narrow"/>
        </w:rPr>
      </w:pPr>
    </w:p>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rPr>
        <w:t xml:space="preserve">A las consideraciones anteriores debemos agregarle, que durante los últimos 16 años los gobiernos de turno, sostuvieron las finanzas Nacionales con los recursos provenientes de la explotación hidrocarburos y minerales; no podemos pasar por alto que en los periodos de gobierno comprendidos entre el año 2002 – 2010 se vivió una época de bonanza petrolera, que bien pudo haberse aprovechado para reducir el déficit fiscal, pero al contrario se amplió el desbalance entre ingresos y gastos a pesar de haber reducido las trasferencias a la regiones amparados en el acto legislativo 01 de 2001, de igual manera se obtuvieron importantes recursos provenientes de la feria de privatizaciones y se incrementó el endeudamiento.  </w:t>
      </w:r>
    </w:p>
    <w:p w:rsidR="004B04E6" w:rsidRPr="001B4B14" w:rsidRDefault="004B04E6" w:rsidP="004B04E6">
      <w:pPr>
        <w:pStyle w:val="NormalWeb"/>
        <w:spacing w:before="0" w:beforeAutospacing="0" w:after="0" w:afterAutospacing="0"/>
        <w:jc w:val="both"/>
        <w:rPr>
          <w:rFonts w:ascii="Arial Narrow" w:hAnsi="Arial Narrow"/>
        </w:rPr>
      </w:pPr>
    </w:p>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rPr>
        <w:t xml:space="preserve">Frente a la situación, el gobierno elegido para los periodos comprendidos entre 2010 -2014 y 2014 – 2018 no vaciló en aplicar la alternativa más fácil para cubrir el déficit fiscal y optó por presentar y justificar la modificación al régimen de regalías, lo cual le produjo importantes dividendos políticos y fiscales, le permitió continuar con los privilegios tributarios al gran capital, continuar con la reducción de trasferencias a las regiones provenientes del SGP y le facilitó la implementación de la regla fiscal. </w:t>
      </w:r>
    </w:p>
    <w:p w:rsidR="004B04E6" w:rsidRPr="001B4B14" w:rsidRDefault="004B04E6" w:rsidP="004B04E6">
      <w:pPr>
        <w:pStyle w:val="NormalWeb"/>
        <w:spacing w:before="0" w:beforeAutospacing="0" w:after="0" w:afterAutospacing="0"/>
        <w:jc w:val="both"/>
        <w:rPr>
          <w:rFonts w:ascii="Arial Narrow" w:hAnsi="Arial Narrow"/>
        </w:rPr>
      </w:pPr>
    </w:p>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rPr>
        <w:t>Teniendo en cuenta lo anterior, desde el año 2014, por parte de diferentes congresistas se intentó modificar el Sistema General de Regalías con el fin de recuperar en parte los ingresos dejados de percibir con ocasión a la aplicación de Acto Legislativo 05/2011 y para destrabar el procedimiento de aprobación de los proyectos ante los Órganos Colegiados de Administración y Decisión OCAD los cuales han sido un palo en la rueda en la ejecución de los recursos del SGR como lo expone la Contraloría General de la República en su último informe donde asegura que están represados más de 10 billones de pesos enriqueciendo el sistema financiero, mientras las regiones cuentan con necesidades insatisfechas o como el caso del FCTeI que a diciembre de 2016 tuvo 1.5 billones de pesos sin ejecutar y fueron trasladados mediante el acto legislativo 04 de 2017. En esa medida, se presentaron las siguientes propuestas:</w:t>
      </w:r>
    </w:p>
    <w:p w:rsidR="004B04E6" w:rsidRPr="001B4B14" w:rsidRDefault="004B04E6" w:rsidP="004B04E6">
      <w:pPr>
        <w:pStyle w:val="NormalWeb"/>
        <w:spacing w:before="0" w:beforeAutospacing="0" w:after="0" w:afterAutospacing="0"/>
        <w:jc w:val="both"/>
        <w:rPr>
          <w:rFonts w:ascii="Arial Narrow" w:hAnsi="Arial Narrow"/>
        </w:rPr>
      </w:pPr>
    </w:p>
    <w:p w:rsidR="004B04E6" w:rsidRPr="001B4B14" w:rsidRDefault="004B04E6" w:rsidP="004B04E6">
      <w:pPr>
        <w:pStyle w:val="NormalWeb"/>
        <w:numPr>
          <w:ilvl w:val="0"/>
          <w:numId w:val="33"/>
        </w:numPr>
        <w:spacing w:before="0" w:beforeAutospacing="0" w:after="0" w:afterAutospacing="0"/>
        <w:ind w:left="357" w:hanging="357"/>
        <w:jc w:val="both"/>
        <w:rPr>
          <w:rFonts w:ascii="Arial Narrow" w:hAnsi="Arial Narrow"/>
        </w:rPr>
      </w:pPr>
      <w:r w:rsidRPr="001B4B14">
        <w:rPr>
          <w:rFonts w:ascii="Arial Narrow" w:hAnsi="Arial Narrow"/>
        </w:rPr>
        <w:t>Proyecto Acto Legislativo No. 026 de 2014 Senador Álvaro Uribe Vélez.</w:t>
      </w:r>
    </w:p>
    <w:p w:rsidR="004B04E6" w:rsidRPr="001B4B14" w:rsidRDefault="004B04E6" w:rsidP="004B04E6">
      <w:pPr>
        <w:pStyle w:val="NormalWeb"/>
        <w:numPr>
          <w:ilvl w:val="0"/>
          <w:numId w:val="33"/>
        </w:numPr>
        <w:spacing w:before="0" w:beforeAutospacing="0" w:after="0" w:afterAutospacing="0"/>
        <w:ind w:left="357" w:hanging="357"/>
        <w:jc w:val="both"/>
        <w:rPr>
          <w:rFonts w:ascii="Arial Narrow" w:hAnsi="Arial Narrow"/>
        </w:rPr>
      </w:pPr>
      <w:r w:rsidRPr="001B4B14">
        <w:rPr>
          <w:rFonts w:ascii="Arial Narrow" w:hAnsi="Arial Narrow"/>
        </w:rPr>
        <w:t>Proyecto Acto Legislativo No. 112 de 2014 Representante a la Cámara Jorge Camilo Abril.</w:t>
      </w:r>
    </w:p>
    <w:p w:rsidR="004B04E6" w:rsidRPr="001B4B14" w:rsidRDefault="004B04E6" w:rsidP="004B04E6">
      <w:pPr>
        <w:pStyle w:val="NormalWeb"/>
        <w:numPr>
          <w:ilvl w:val="0"/>
          <w:numId w:val="33"/>
        </w:numPr>
        <w:spacing w:before="0" w:beforeAutospacing="0" w:after="0" w:afterAutospacing="0"/>
        <w:ind w:left="357" w:hanging="357"/>
        <w:jc w:val="both"/>
        <w:rPr>
          <w:rFonts w:ascii="Arial Narrow" w:hAnsi="Arial Narrow"/>
        </w:rPr>
      </w:pPr>
      <w:r w:rsidRPr="001B4B14">
        <w:rPr>
          <w:rFonts w:ascii="Arial Narrow" w:hAnsi="Arial Narrow"/>
        </w:rPr>
        <w:t>Proyecto Acto Legislativo No. 173 de 2014 Senadora Maritza Martínez.</w:t>
      </w:r>
    </w:p>
    <w:p w:rsidR="004B04E6" w:rsidRPr="001B4B14" w:rsidRDefault="004B04E6" w:rsidP="004B04E6">
      <w:pPr>
        <w:pStyle w:val="NormalWeb"/>
        <w:numPr>
          <w:ilvl w:val="0"/>
          <w:numId w:val="33"/>
        </w:numPr>
        <w:spacing w:before="0" w:beforeAutospacing="0" w:after="0" w:afterAutospacing="0"/>
        <w:ind w:left="357" w:hanging="357"/>
        <w:jc w:val="both"/>
        <w:rPr>
          <w:rFonts w:ascii="Arial Narrow" w:hAnsi="Arial Narrow"/>
        </w:rPr>
      </w:pPr>
      <w:r w:rsidRPr="001B4B14">
        <w:rPr>
          <w:rFonts w:ascii="Arial Narrow" w:hAnsi="Arial Narrow"/>
        </w:rPr>
        <w:t>Proyecto de Ley No. 157 de 2014, Modificación Ley 1530 de 2012 Jorge Camilo Abril.</w:t>
      </w:r>
    </w:p>
    <w:p w:rsidR="004B04E6" w:rsidRPr="001B4B14" w:rsidRDefault="004B04E6" w:rsidP="004B04E6">
      <w:pPr>
        <w:pStyle w:val="NormalWeb"/>
        <w:numPr>
          <w:ilvl w:val="0"/>
          <w:numId w:val="33"/>
        </w:numPr>
        <w:spacing w:before="0" w:beforeAutospacing="0" w:after="0" w:afterAutospacing="0"/>
        <w:ind w:left="357" w:hanging="357"/>
        <w:jc w:val="both"/>
        <w:rPr>
          <w:rFonts w:ascii="Arial Narrow" w:hAnsi="Arial Narrow"/>
        </w:rPr>
      </w:pPr>
      <w:r w:rsidRPr="001B4B14">
        <w:rPr>
          <w:rFonts w:ascii="Arial Narrow" w:hAnsi="Arial Narrow"/>
        </w:rPr>
        <w:t>Proyecto Acto Legislativo No. 177 de 2016 Representante a la Cámara Jorge Camilo Abril.</w:t>
      </w:r>
    </w:p>
    <w:p w:rsidR="004B04E6" w:rsidRPr="001B4B14" w:rsidRDefault="004B04E6" w:rsidP="004B04E6">
      <w:pPr>
        <w:pStyle w:val="NormalWeb"/>
        <w:numPr>
          <w:ilvl w:val="0"/>
          <w:numId w:val="33"/>
        </w:numPr>
        <w:spacing w:before="0" w:beforeAutospacing="0" w:after="0" w:afterAutospacing="0"/>
        <w:ind w:left="357" w:hanging="357"/>
        <w:jc w:val="both"/>
        <w:rPr>
          <w:rFonts w:ascii="Arial Narrow" w:hAnsi="Arial Narrow"/>
        </w:rPr>
      </w:pPr>
      <w:r w:rsidRPr="001B4B14">
        <w:rPr>
          <w:rFonts w:ascii="Arial Narrow" w:hAnsi="Arial Narrow"/>
        </w:rPr>
        <w:t>Propuesta al Gobierno origen del Proyecto de Acto Legislativo SGR vía Fast Track</w:t>
      </w:r>
    </w:p>
    <w:p w:rsidR="004B04E6" w:rsidRPr="001B4B14" w:rsidRDefault="004B04E6" w:rsidP="004B04E6">
      <w:pPr>
        <w:pStyle w:val="NormalWeb"/>
        <w:numPr>
          <w:ilvl w:val="0"/>
          <w:numId w:val="33"/>
        </w:numPr>
        <w:spacing w:before="0" w:beforeAutospacing="0" w:after="0" w:afterAutospacing="0"/>
        <w:ind w:left="357" w:hanging="357"/>
        <w:jc w:val="both"/>
        <w:rPr>
          <w:rFonts w:ascii="Arial Narrow" w:hAnsi="Arial Narrow"/>
        </w:rPr>
      </w:pPr>
      <w:r w:rsidRPr="001B4B14">
        <w:rPr>
          <w:rFonts w:ascii="Arial Narrow" w:hAnsi="Arial Narrow"/>
        </w:rPr>
        <w:t>Proyecto de Ley No. 014 de 2017, Representante a la Cámara Jorge Camilo Abril.</w:t>
      </w:r>
    </w:p>
    <w:p w:rsidR="004B04E6" w:rsidRPr="001B4B14" w:rsidRDefault="004B04E6" w:rsidP="004B04E6">
      <w:pPr>
        <w:pStyle w:val="NormalWeb"/>
        <w:spacing w:before="0" w:beforeAutospacing="0" w:after="0" w:afterAutospacing="0"/>
        <w:jc w:val="both"/>
        <w:rPr>
          <w:rFonts w:ascii="Arial Narrow" w:hAnsi="Arial Narrow"/>
        </w:rPr>
      </w:pPr>
    </w:p>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rPr>
        <w:t>De las anteriores propuestas solo prosperó la presentada por el gobierno nacional, la cual dio origen al acto legislativo 04 de 2017 mediante el cual se introdujeron medidas transitorias para los próximos 20 años, se crea una asignación para la implementación del proceso de paz con una participación del 7%, se reduce del 10% al 7% la asignación correspondiente al FAE, se destina el 60% de los saldos no aprobados del Fondo de Ciencia, Tecnología e Innovación a 31 de diciembre de 2016 para financiar la infraestructura de transporte requerida  para la implementación del acuerdo fina de paz y se autoriza la apropiación directa a las entidades cuya apropiación bienal sea menor a 4000 salarios mínimos mensuales legales vigentes entre otras medidas.</w:t>
      </w:r>
    </w:p>
    <w:p w:rsidR="004B04E6" w:rsidRPr="001B4B14" w:rsidRDefault="004B04E6" w:rsidP="004B04E6">
      <w:pPr>
        <w:pStyle w:val="NormalWeb"/>
        <w:spacing w:before="0" w:beforeAutospacing="0" w:after="0" w:afterAutospacing="0"/>
        <w:jc w:val="both"/>
        <w:rPr>
          <w:rFonts w:ascii="Arial Narrow" w:hAnsi="Arial Narrow"/>
        </w:rPr>
      </w:pPr>
    </w:p>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rPr>
        <w:t>Teniendo en cuenta los Actos Legislativos 05 de 2011 y 04 de 2017, así se encuentra la distribución porcentual de las regalías de manera residual:</w:t>
      </w:r>
    </w:p>
    <w:p w:rsidR="004B04E6" w:rsidRPr="001B4B14" w:rsidRDefault="004B04E6" w:rsidP="004B04E6">
      <w:pPr>
        <w:pStyle w:val="NormalWeb"/>
        <w:spacing w:before="0" w:beforeAutospacing="0" w:after="0" w:afterAutospacing="0"/>
        <w:jc w:val="both"/>
        <w:rPr>
          <w:rFonts w:ascii="Arial Narrow" w:hAnsi="Arial Narrow"/>
        </w:rPr>
      </w:pPr>
    </w:p>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b/>
        </w:rPr>
        <w:t>Imagen No. 1.</w:t>
      </w:r>
      <w:r w:rsidRPr="001B4B14">
        <w:rPr>
          <w:rFonts w:ascii="Arial Narrow" w:hAnsi="Arial Narrow"/>
        </w:rPr>
        <w:t xml:space="preserve"> Distribución Porcentual Residual del SGR</w:t>
      </w:r>
      <w:r w:rsidRPr="001B4B14">
        <w:rPr>
          <w:rFonts w:ascii="Arial Narrow" w:hAnsi="Arial Narrow"/>
          <w:noProof/>
        </w:rPr>
        <w:drawing>
          <wp:inline distT="0" distB="0" distL="0" distR="0" wp14:anchorId="7A3EA8D3" wp14:editId="50DFB085">
            <wp:extent cx="5623696" cy="3665370"/>
            <wp:effectExtent l="0" t="0" r="0" b="0"/>
            <wp:docPr id="26" name="Imagen 26" descr="C:\Users\JOSE PEREZ\Dropbox\Capturas de pantalla\Captura de pantalla 2018-07-18 09.36.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SE PEREZ\Dropbox\Capturas de pantalla\Captura de pantalla 2018-07-18 09.36.5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2083" cy="3696907"/>
                    </a:xfrm>
                    <a:prstGeom prst="rect">
                      <a:avLst/>
                    </a:prstGeom>
                    <a:noFill/>
                    <a:ln>
                      <a:noFill/>
                    </a:ln>
                  </pic:spPr>
                </pic:pic>
              </a:graphicData>
            </a:graphic>
          </wp:inline>
        </w:drawing>
      </w:r>
    </w:p>
    <w:p w:rsidR="004B04E6" w:rsidRPr="001B4B14" w:rsidRDefault="004B04E6" w:rsidP="004B04E6">
      <w:pPr>
        <w:pStyle w:val="NormalWeb"/>
        <w:spacing w:before="0" w:beforeAutospacing="0" w:after="0" w:afterAutospacing="0"/>
        <w:jc w:val="both"/>
        <w:rPr>
          <w:rFonts w:ascii="Arial Narrow" w:hAnsi="Arial Narrow"/>
        </w:rPr>
      </w:pPr>
    </w:p>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rPr>
        <w:t>La anterior distribución al presentarse de manera residual, desdibuja el porcentaje real que le corresponde a cada componente frente al total del presupuesto del SGR; la siguiente imagen, representa el porcentaje real de participación de cada uno de las asignaciones frente al total.</w:t>
      </w:r>
    </w:p>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rPr>
        <w:t xml:space="preserve"> </w:t>
      </w:r>
    </w:p>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b/>
        </w:rPr>
        <w:t>Imagen No 2.</w:t>
      </w:r>
      <w:r w:rsidRPr="001B4B14">
        <w:rPr>
          <w:rFonts w:ascii="Arial Narrow" w:hAnsi="Arial Narrow"/>
        </w:rPr>
        <w:t xml:space="preserve"> Distribución Porcentual Real del SGR</w:t>
      </w:r>
    </w:p>
    <w:p w:rsidR="004B04E6" w:rsidRPr="001B4B14" w:rsidRDefault="004B04E6" w:rsidP="004B04E6">
      <w:pPr>
        <w:pStyle w:val="NormalWeb"/>
        <w:spacing w:before="0" w:beforeAutospacing="0" w:after="0" w:afterAutospacing="0"/>
        <w:jc w:val="both"/>
        <w:rPr>
          <w:rFonts w:ascii="Arial Narrow" w:hAnsi="Arial Narrow"/>
        </w:rPr>
      </w:pPr>
      <w:r w:rsidRPr="001B4B14">
        <w:rPr>
          <w:rFonts w:ascii="Arial Narrow" w:hAnsi="Arial Narrow"/>
          <w:noProof/>
        </w:rPr>
        <w:drawing>
          <wp:inline distT="0" distB="0" distL="0" distR="0" wp14:anchorId="3083C08C" wp14:editId="497E99B8">
            <wp:extent cx="5553075" cy="3337998"/>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61689" cy="3343176"/>
                    </a:xfrm>
                    <a:prstGeom prst="rect">
                      <a:avLst/>
                    </a:prstGeom>
                    <a:noFill/>
                  </pic:spPr>
                </pic:pic>
              </a:graphicData>
            </a:graphic>
          </wp:inline>
        </w:drawing>
      </w:r>
    </w:p>
    <w:p w:rsidR="004B04E6" w:rsidRDefault="004B04E6" w:rsidP="004B04E6">
      <w:pPr>
        <w:pStyle w:val="NormalWeb"/>
        <w:spacing w:before="0" w:beforeAutospacing="0" w:after="0" w:afterAutospacing="0"/>
        <w:jc w:val="both"/>
        <w:rPr>
          <w:rFonts w:ascii="Arial Narrow" w:hAnsi="Arial Narrow"/>
          <w:b/>
        </w:rPr>
      </w:pPr>
    </w:p>
    <w:p w:rsidR="004B04E6" w:rsidRDefault="004B04E6" w:rsidP="004B04E6">
      <w:pPr>
        <w:pStyle w:val="NormalWeb"/>
        <w:spacing w:before="0" w:beforeAutospacing="0" w:after="0" w:afterAutospacing="0"/>
        <w:jc w:val="both"/>
        <w:rPr>
          <w:rFonts w:ascii="Arial Narrow" w:hAnsi="Arial Narrow"/>
          <w:b/>
        </w:rPr>
      </w:pPr>
    </w:p>
    <w:p w:rsidR="004B04E6" w:rsidRPr="001B4B14" w:rsidRDefault="004B04E6" w:rsidP="004B04E6">
      <w:pPr>
        <w:pStyle w:val="NormalWeb"/>
        <w:spacing w:before="0" w:beforeAutospacing="0" w:after="0" w:afterAutospacing="0"/>
        <w:jc w:val="both"/>
        <w:rPr>
          <w:rFonts w:ascii="Arial Narrow" w:hAnsi="Arial Narrow"/>
          <w:b/>
        </w:rPr>
      </w:pPr>
      <w:r>
        <w:rPr>
          <w:rFonts w:ascii="Arial Narrow" w:hAnsi="Arial Narrow"/>
          <w:b/>
        </w:rPr>
        <w:t xml:space="preserve">lll-. </w:t>
      </w:r>
      <w:r w:rsidRPr="001B4B14">
        <w:rPr>
          <w:rFonts w:ascii="Arial Narrow" w:hAnsi="Arial Narrow"/>
          <w:b/>
        </w:rPr>
        <w:t>El Proyecto de Acto Legislativo</w:t>
      </w:r>
    </w:p>
    <w:p w:rsidR="004B04E6" w:rsidRPr="001B4B14" w:rsidRDefault="004B04E6" w:rsidP="004B04E6">
      <w:pPr>
        <w:pStyle w:val="NormalWeb"/>
        <w:spacing w:before="0" w:beforeAutospacing="0" w:after="0" w:afterAutospacing="0"/>
        <w:jc w:val="both"/>
        <w:rPr>
          <w:rFonts w:ascii="Arial Narrow" w:hAnsi="Arial Narrow"/>
        </w:rPr>
      </w:pPr>
    </w:p>
    <w:p w:rsidR="004B04E6" w:rsidRDefault="004B04E6" w:rsidP="004B0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jc w:val="both"/>
        <w:textAlignment w:val="center"/>
        <w:rPr>
          <w:rFonts w:ascii="Arial Narrow" w:eastAsia="Times New Roman" w:hAnsi="Arial Narrow" w:cs="Arial"/>
          <w:lang w:val="es-ES_tradnl" w:eastAsia="es-CO"/>
        </w:rPr>
      </w:pPr>
      <w:r>
        <w:rPr>
          <w:rFonts w:ascii="Arial Narrow" w:eastAsia="Times New Roman" w:hAnsi="Arial Narrow" w:cs="Arial"/>
          <w:lang w:val="es-ES_tradnl" w:eastAsia="es-CO"/>
        </w:rPr>
        <w:t xml:space="preserve">El presente proyecto de acto legislativo modifica el sistema residual de distribución de los componentes del Sistema General de Regalías, proyectando un sistema fijo o vertical que fijará en forma más transparente la distribución, para poder planificar con más eficacia la inversión de los recursos del Sistema General de Regalías. </w:t>
      </w:r>
    </w:p>
    <w:p w:rsidR="004B04E6" w:rsidRDefault="004B04E6" w:rsidP="004B0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jc w:val="both"/>
        <w:textAlignment w:val="center"/>
        <w:rPr>
          <w:rFonts w:ascii="Arial Narrow" w:eastAsia="Times New Roman" w:hAnsi="Arial Narrow" w:cs="Arial"/>
          <w:lang w:val="es-ES_tradnl" w:eastAsia="es-CO"/>
        </w:rPr>
      </w:pPr>
    </w:p>
    <w:p w:rsidR="004B04E6" w:rsidRDefault="004B04E6" w:rsidP="004B0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jc w:val="both"/>
        <w:textAlignment w:val="center"/>
        <w:rPr>
          <w:rFonts w:ascii="Arial Narrow" w:eastAsia="Times New Roman" w:hAnsi="Arial Narrow" w:cs="Arial"/>
          <w:lang w:val="es-ES_tradnl" w:eastAsia="es-CO"/>
        </w:rPr>
      </w:pPr>
      <w:r>
        <w:rPr>
          <w:rFonts w:ascii="Arial Narrow" w:eastAsia="Times New Roman" w:hAnsi="Arial Narrow" w:cs="Arial"/>
          <w:lang w:val="es-ES_tradnl" w:eastAsia="es-CO"/>
        </w:rPr>
        <w:t xml:space="preserve">Así mismo se incrementan los recursos para las asignaciones directas, que antes de la creación S.G.R le correspondía el 68% del total de las regalías y hoy el proyecto propone un 37% del total del S.G.R., con lo cual se resuelve las graves dificultades que están padeciendo los entes productores, ante la imposibilidad de atender y solucionar la problemática social, ambiental y económica, y también para resolver el constante conflicto entre las comunidades y las compañías que explotan los recursos de hidrocarburos y minerales, que hoy específicamente impiden el normal desarrollo de la actividad petrolera. </w:t>
      </w:r>
    </w:p>
    <w:p w:rsidR="004B04E6" w:rsidRDefault="004B04E6" w:rsidP="004B0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jc w:val="both"/>
        <w:textAlignment w:val="center"/>
        <w:rPr>
          <w:rFonts w:ascii="Arial Narrow" w:eastAsia="Times New Roman" w:hAnsi="Arial Narrow" w:cs="Arial"/>
          <w:lang w:val="es-ES_tradnl" w:eastAsia="es-CO"/>
        </w:rPr>
      </w:pPr>
    </w:p>
    <w:p w:rsidR="004B04E6" w:rsidRDefault="004B04E6" w:rsidP="004B0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jc w:val="both"/>
        <w:textAlignment w:val="center"/>
        <w:rPr>
          <w:rFonts w:ascii="Arial Narrow" w:eastAsia="Times New Roman" w:hAnsi="Arial Narrow" w:cs="Arial"/>
          <w:lang w:val="es-ES_tradnl" w:eastAsia="es-CO"/>
        </w:rPr>
      </w:pPr>
      <w:r>
        <w:rPr>
          <w:rFonts w:ascii="Arial Narrow" w:eastAsia="Times New Roman" w:hAnsi="Arial Narrow" w:cs="Arial"/>
          <w:lang w:val="es-ES_tradnl" w:eastAsia="es-CO"/>
        </w:rPr>
        <w:t>De otra parte, el proyecto de acto legislativo puesto en consideración le asigna a los entes territoriales productores y portuarios, la facultad para viabilizar, aprobar y priorizar los proyectos financiados con recursos de las asignaciones directas, excluyendo el OCAD de las asignaciones directas. También se destina un porcentaje del 3% del total de las asignaciones directas, para inversión en las universidades publicas donde concede dichos entes territoriales.</w:t>
      </w:r>
    </w:p>
    <w:p w:rsidR="004B04E6" w:rsidRDefault="004B04E6" w:rsidP="004B0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jc w:val="both"/>
        <w:textAlignment w:val="center"/>
        <w:rPr>
          <w:rFonts w:ascii="Arial Narrow" w:eastAsia="Times New Roman" w:hAnsi="Arial Narrow" w:cs="Arial"/>
          <w:lang w:val="es-ES_tradnl" w:eastAsia="es-CO"/>
        </w:rPr>
      </w:pPr>
    </w:p>
    <w:p w:rsidR="004B04E6" w:rsidRDefault="004B04E6" w:rsidP="004B0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jc w:val="both"/>
        <w:textAlignment w:val="center"/>
        <w:rPr>
          <w:rFonts w:ascii="Arial Narrow" w:eastAsia="Times New Roman" w:hAnsi="Arial Narrow" w:cs="Arial"/>
          <w:lang w:val="es-ES_tradnl" w:eastAsia="es-CO"/>
        </w:rPr>
      </w:pPr>
      <w:r>
        <w:rPr>
          <w:rFonts w:ascii="Arial Narrow" w:eastAsia="Times New Roman" w:hAnsi="Arial Narrow" w:cs="Arial"/>
          <w:lang w:val="es-ES_tradnl" w:eastAsia="es-CO"/>
        </w:rPr>
        <w:t>Desde la implementación de las regalías en Colombia, no se autorizó fiscalización del contrato de explotación con cargo a las regalías, por ser extraño o estrambótico al destino de las mismas. Con la aprobación del Acto Legislativo No. 05 de 2011, se introdujo la función de fiscalización del contrato de manera inconcebible e inverosímil por ser ajena al sentido ontológico de las regalías. Con el presente Proyecto se limita la labor de Fiscalización exclusivamente a la liquidación de las regalías, es decir al 7% o más del contrato de explotación, por cuanto la producción total de hidrocarburos o minerales, es objeto de fiscalización acordada por las partes en el clausulado del contrato de explotación. Así mismo, se excluye la labor de cartografía geológica y conocimiento del subsuelo, por ser competencia del Servicio Geológico Colombiano SGC, que no tiene relación con el S.G.R.</w:t>
      </w:r>
    </w:p>
    <w:p w:rsidR="004B04E6" w:rsidRDefault="004B04E6" w:rsidP="004B0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jc w:val="both"/>
        <w:textAlignment w:val="center"/>
        <w:rPr>
          <w:rFonts w:ascii="Arial Narrow" w:eastAsia="Times New Roman" w:hAnsi="Arial Narrow" w:cs="Arial"/>
          <w:lang w:val="es-ES_tradnl" w:eastAsia="es-CO"/>
        </w:rPr>
      </w:pPr>
    </w:p>
    <w:p w:rsidR="004B04E6" w:rsidRDefault="004B04E6" w:rsidP="004B0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jc w:val="both"/>
        <w:textAlignment w:val="center"/>
        <w:rPr>
          <w:rFonts w:ascii="Arial Narrow" w:eastAsia="Times New Roman" w:hAnsi="Arial Narrow" w:cs="Arial"/>
          <w:lang w:val="es-ES_tradnl" w:eastAsia="es-CO"/>
        </w:rPr>
      </w:pPr>
      <w:r>
        <w:rPr>
          <w:rFonts w:ascii="Arial Narrow" w:eastAsia="Times New Roman" w:hAnsi="Arial Narrow" w:cs="Arial"/>
          <w:lang w:val="es-ES_tradnl" w:eastAsia="es-CO"/>
        </w:rPr>
        <w:t>En el proyecto de acto legislativo se asignan el 1% para atender los gastos de funcionamiento del Sistema General de Regalías, recursos que son suficientes para este fin. A manera de ejemplo para el presente presupuesto bienal se le asignaron el 2% del total de las regalías, es decir una suma superior a los $360.000 millones de pesos que desborda cualquier gestión eficaz y eficiente. De otra parte, se propone que los derechos de regalía se paguen en especie y no en dinero, al gusto o capricho del concesionario o contratista.</w:t>
      </w:r>
    </w:p>
    <w:p w:rsidR="004B04E6" w:rsidRDefault="004B04E6" w:rsidP="004B0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jc w:val="both"/>
        <w:textAlignment w:val="center"/>
        <w:rPr>
          <w:rFonts w:ascii="Arial Narrow" w:eastAsia="Times New Roman" w:hAnsi="Arial Narrow" w:cs="Arial"/>
          <w:lang w:val="es-ES_tradnl" w:eastAsia="es-CO"/>
        </w:rPr>
      </w:pPr>
    </w:p>
    <w:p w:rsidR="004B04E6" w:rsidRDefault="004B04E6" w:rsidP="004B0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jc w:val="both"/>
        <w:textAlignment w:val="center"/>
        <w:rPr>
          <w:rFonts w:ascii="Arial Narrow" w:eastAsia="Times New Roman" w:hAnsi="Arial Narrow" w:cs="Arial"/>
          <w:lang w:val="es-ES_tradnl" w:eastAsia="es-CO"/>
        </w:rPr>
      </w:pPr>
      <w:r>
        <w:rPr>
          <w:rFonts w:ascii="Arial Narrow" w:eastAsia="Times New Roman" w:hAnsi="Arial Narrow" w:cs="Arial"/>
          <w:lang w:val="es-ES_tradnl" w:eastAsia="es-CO"/>
        </w:rPr>
        <w:t xml:space="preserve"> El proyecto excluye del art 361 de la constitución, los parágrafos transitorios que cumplieron sus cometidos en el tiempo, con lo cual las autorizaciones fenecieron y por economía no es viable seguir sosteniéndolos como parte integral de dicho artículo superior.</w:t>
      </w:r>
    </w:p>
    <w:p w:rsidR="004B04E6" w:rsidRDefault="004B04E6" w:rsidP="004B0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jc w:val="both"/>
        <w:textAlignment w:val="center"/>
        <w:rPr>
          <w:rFonts w:ascii="Arial Narrow" w:eastAsia="Times New Roman" w:hAnsi="Arial Narrow" w:cs="Arial"/>
          <w:lang w:val="es-ES_tradnl" w:eastAsia="es-CO"/>
        </w:rPr>
      </w:pPr>
    </w:p>
    <w:p w:rsidR="004B04E6" w:rsidRPr="001B4B14" w:rsidRDefault="004B04E6" w:rsidP="004B0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jc w:val="both"/>
        <w:textAlignment w:val="center"/>
        <w:rPr>
          <w:rFonts w:ascii="Arial Narrow" w:eastAsia="Times New Roman" w:hAnsi="Arial Narrow" w:cs="Arial"/>
          <w:lang w:val="es-ES_tradnl" w:eastAsia="es-CO"/>
        </w:rPr>
      </w:pPr>
      <w:r w:rsidRPr="001B4B14">
        <w:rPr>
          <w:rFonts w:ascii="Arial Narrow" w:eastAsia="Times New Roman" w:hAnsi="Arial Narrow" w:cs="Arial"/>
          <w:lang w:val="es-ES_tradnl" w:eastAsia="es-CO"/>
        </w:rPr>
        <w:t>En este sentido, la presentación de este proyecto busca generar una verdadera propuesta de equidad</w:t>
      </w:r>
      <w:r>
        <w:rPr>
          <w:rFonts w:ascii="Arial Narrow" w:eastAsia="Times New Roman" w:hAnsi="Arial Narrow" w:cs="Arial"/>
          <w:lang w:val="es-ES_tradnl" w:eastAsia="es-CO"/>
        </w:rPr>
        <w:t xml:space="preserve"> y</w:t>
      </w:r>
      <w:r w:rsidRPr="001B4B14">
        <w:rPr>
          <w:rFonts w:ascii="Arial Narrow" w:eastAsia="Times New Roman" w:hAnsi="Arial Narrow" w:cs="Arial"/>
          <w:lang w:val="es-ES_tradnl" w:eastAsia="es-CO"/>
        </w:rPr>
        <w:t xml:space="preserve"> un punto de encuentro en lo Regional y lo Nacional</w:t>
      </w:r>
      <w:r>
        <w:rPr>
          <w:rFonts w:ascii="Arial Narrow" w:eastAsia="Times New Roman" w:hAnsi="Arial Narrow" w:cs="Arial"/>
          <w:lang w:val="es-ES_tradnl" w:eastAsia="es-CO"/>
        </w:rPr>
        <w:t xml:space="preserve">, </w:t>
      </w:r>
      <w:r w:rsidRPr="001B4B14">
        <w:rPr>
          <w:rFonts w:ascii="Arial Narrow" w:eastAsia="Times New Roman" w:hAnsi="Arial Narrow" w:cs="Arial"/>
          <w:lang w:val="es-ES_tradnl" w:eastAsia="es-CO"/>
        </w:rPr>
        <w:t>que haga viable a las regiones, contribuya al país y construya vínculos positivos con la actividad petrolera y minera.</w:t>
      </w:r>
      <w:r>
        <w:rPr>
          <w:rFonts w:ascii="Arial Narrow" w:eastAsia="Times New Roman" w:hAnsi="Arial Narrow" w:cs="Arial"/>
          <w:lang w:val="es-ES_tradnl" w:eastAsia="es-CO"/>
        </w:rPr>
        <w:t xml:space="preserve"> Así mismo, será una oportunidad para todos los departamentos que van camino a constituirse como nuevos productores.</w:t>
      </w:r>
    </w:p>
    <w:p w:rsidR="004B04E6" w:rsidRDefault="004B04E6" w:rsidP="004B0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textAlignment w:val="center"/>
        <w:rPr>
          <w:rFonts w:ascii="Arial Narrow" w:eastAsia="Times New Roman" w:hAnsi="Arial Narrow" w:cs="Arial"/>
          <w:b/>
          <w:lang w:val="es-ES_tradnl" w:eastAsia="es-CO"/>
        </w:rPr>
      </w:pPr>
      <w:r>
        <w:rPr>
          <w:rFonts w:ascii="Arial Narrow" w:eastAsia="Times New Roman" w:hAnsi="Arial Narrow" w:cs="Arial"/>
          <w:b/>
          <w:lang w:val="es-ES_tradnl" w:eastAsia="es-CO"/>
        </w:rPr>
        <w:t>3</w:t>
      </w:r>
    </w:p>
    <w:p w:rsidR="004B04E6" w:rsidRDefault="004B04E6" w:rsidP="004B0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jc w:val="center"/>
        <w:textAlignment w:val="center"/>
        <w:rPr>
          <w:rFonts w:ascii="Arial Narrow" w:eastAsia="Times New Roman" w:hAnsi="Arial Narrow" w:cs="Arial"/>
          <w:b/>
          <w:lang w:val="es-ES_tradnl" w:eastAsia="es-CO"/>
        </w:rPr>
      </w:pPr>
    </w:p>
    <w:p w:rsidR="004B04E6" w:rsidRDefault="004B04E6" w:rsidP="004B0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jc w:val="center"/>
        <w:textAlignment w:val="center"/>
        <w:rPr>
          <w:rFonts w:ascii="Arial Narrow" w:eastAsia="Times New Roman" w:hAnsi="Arial Narrow" w:cs="Arial"/>
          <w:b/>
          <w:lang w:val="es-ES_tradnl" w:eastAsia="es-CO"/>
        </w:rPr>
      </w:pPr>
    </w:p>
    <w:p w:rsidR="004B04E6" w:rsidRDefault="004B04E6" w:rsidP="004B0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jc w:val="center"/>
        <w:textAlignment w:val="center"/>
        <w:rPr>
          <w:rFonts w:ascii="Arial Narrow" w:eastAsia="Times New Roman" w:hAnsi="Arial Narrow" w:cs="Arial"/>
          <w:b/>
          <w:lang w:val="es-ES_tradnl" w:eastAsia="es-CO"/>
        </w:rPr>
      </w:pPr>
    </w:p>
    <w:p w:rsidR="004B04E6" w:rsidRDefault="004B04E6" w:rsidP="004B0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jc w:val="both"/>
        <w:textAlignment w:val="center"/>
        <w:rPr>
          <w:rFonts w:ascii="Arial Narrow" w:eastAsia="Times New Roman" w:hAnsi="Arial Narrow" w:cs="Arial"/>
          <w:lang w:val="es-ES_tradnl" w:eastAsia="es-CO"/>
        </w:rPr>
      </w:pPr>
      <w:r w:rsidRPr="002505CC">
        <w:rPr>
          <w:rFonts w:ascii="Arial Narrow" w:eastAsia="Times New Roman" w:hAnsi="Arial Narrow" w:cs="Arial"/>
          <w:b/>
          <w:lang w:val="es-ES_tradnl" w:eastAsia="es-CO"/>
        </w:rPr>
        <w:t>PLIEGO DE MODIFICACIONES</w:t>
      </w:r>
    </w:p>
    <w:p w:rsidR="004B04E6" w:rsidRDefault="004B04E6" w:rsidP="004B04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djustRightInd w:val="0"/>
        <w:spacing w:after="0" w:line="240" w:lineRule="auto"/>
        <w:jc w:val="both"/>
        <w:textAlignment w:val="center"/>
        <w:rPr>
          <w:rFonts w:ascii="Arial Narrow" w:eastAsia="Times New Roman" w:hAnsi="Arial Narrow" w:cs="Arial"/>
          <w:lang w:val="es-ES_tradnl" w:eastAsia="es-CO"/>
        </w:rPr>
      </w:pPr>
    </w:p>
    <w:tbl>
      <w:tblPr>
        <w:tblStyle w:val="Tablaconcuadrcula"/>
        <w:tblW w:w="6521" w:type="pct"/>
        <w:tblInd w:w="-1155" w:type="dxa"/>
        <w:tblLook w:val="04A0" w:firstRow="1" w:lastRow="0" w:firstColumn="1" w:lastColumn="0" w:noHBand="0" w:noVBand="1"/>
      </w:tblPr>
      <w:tblGrid>
        <w:gridCol w:w="3182"/>
        <w:gridCol w:w="3182"/>
        <w:gridCol w:w="3180"/>
        <w:gridCol w:w="1969"/>
      </w:tblGrid>
      <w:tr w:rsidR="004B04E6" w:rsidTr="00796562">
        <w:tc>
          <w:tcPr>
            <w:tcW w:w="1382" w:type="pct"/>
          </w:tcPr>
          <w:p w:rsidR="004B04E6" w:rsidRPr="00B83A25" w:rsidRDefault="004B04E6" w:rsidP="00796562">
            <w:pPr>
              <w:spacing w:before="57" w:after="57"/>
              <w:jc w:val="both"/>
              <w:rPr>
                <w:sz w:val="16"/>
                <w:szCs w:val="16"/>
              </w:rPr>
            </w:pPr>
            <w:r w:rsidRPr="00B83A25">
              <w:rPr>
                <w:sz w:val="16"/>
                <w:szCs w:val="16"/>
              </w:rPr>
              <w:t>CONSTITUCIONAL</w:t>
            </w:r>
          </w:p>
        </w:tc>
        <w:tc>
          <w:tcPr>
            <w:tcW w:w="1382" w:type="pct"/>
          </w:tcPr>
          <w:p w:rsidR="004B04E6" w:rsidRPr="00B83A25" w:rsidRDefault="004B04E6" w:rsidP="00796562">
            <w:pPr>
              <w:spacing w:before="57" w:after="57"/>
              <w:jc w:val="both"/>
              <w:rPr>
                <w:sz w:val="16"/>
                <w:szCs w:val="16"/>
              </w:rPr>
            </w:pPr>
            <w:r w:rsidRPr="00B83A25">
              <w:rPr>
                <w:sz w:val="16"/>
                <w:szCs w:val="16"/>
              </w:rPr>
              <w:t>MODIFICACIONES</w:t>
            </w:r>
          </w:p>
        </w:tc>
        <w:tc>
          <w:tcPr>
            <w:tcW w:w="1381" w:type="pct"/>
          </w:tcPr>
          <w:p w:rsidR="004B04E6" w:rsidRPr="00B83A25" w:rsidRDefault="004B04E6" w:rsidP="00796562">
            <w:pPr>
              <w:spacing w:before="57" w:after="57"/>
              <w:jc w:val="both"/>
              <w:rPr>
                <w:sz w:val="16"/>
                <w:szCs w:val="16"/>
              </w:rPr>
            </w:pPr>
            <w:r w:rsidRPr="00B83A25">
              <w:rPr>
                <w:sz w:val="16"/>
                <w:szCs w:val="16"/>
              </w:rPr>
              <w:t>PROPUESTA</w:t>
            </w:r>
          </w:p>
        </w:tc>
        <w:tc>
          <w:tcPr>
            <w:tcW w:w="855" w:type="pct"/>
          </w:tcPr>
          <w:p w:rsidR="004B04E6" w:rsidRPr="00B83A25" w:rsidRDefault="004B04E6" w:rsidP="00796562">
            <w:pPr>
              <w:spacing w:before="57" w:after="57"/>
              <w:jc w:val="both"/>
              <w:rPr>
                <w:sz w:val="16"/>
                <w:szCs w:val="16"/>
              </w:rPr>
            </w:pPr>
            <w:r>
              <w:rPr>
                <w:sz w:val="16"/>
                <w:szCs w:val="16"/>
              </w:rPr>
              <w:t>OBSERVACIONES</w:t>
            </w:r>
          </w:p>
        </w:tc>
      </w:tr>
      <w:tr w:rsidR="004B04E6" w:rsidTr="00796562">
        <w:trPr>
          <w:trHeight w:val="1413"/>
        </w:trPr>
        <w:tc>
          <w:tcPr>
            <w:tcW w:w="1382" w:type="pct"/>
          </w:tcPr>
          <w:p w:rsidR="004B04E6" w:rsidRPr="00B83A25" w:rsidRDefault="004B04E6" w:rsidP="00796562">
            <w:pPr>
              <w:spacing w:before="57" w:after="57"/>
              <w:jc w:val="both"/>
              <w:rPr>
                <w:sz w:val="16"/>
                <w:szCs w:val="16"/>
              </w:rPr>
            </w:pPr>
            <w:r w:rsidRPr="00324697">
              <w:rPr>
                <w:b/>
                <w:sz w:val="16"/>
                <w:szCs w:val="16"/>
              </w:rPr>
              <w:t>ARTICULO 361.</w:t>
            </w:r>
            <w:r w:rsidRPr="00B83A25">
              <w:rPr>
                <w:sz w:val="16"/>
                <w:szCs w:val="16"/>
              </w:rPr>
              <w:t xml:space="preserve"> Los ingresos del Sistema General de Regalías se destinarán al financiamiento de proyectos para el desarrollo social, económico y ambiental de las entidades territoriales; al ahorro para su pasivo pensional; para inversiones físicas en educación, para inversiones en ciencia, tecnología e innovación; para la generación de ahorro público; para la fiscalización de la exploración y explotación de los yacimientos y conocimiento y cartografía geológica del subsuelo; y para aumentar la competitividad general de la economía buscando mejorar las condiciones sociales de la población. </w:t>
            </w:r>
          </w:p>
          <w:p w:rsidR="004B04E6" w:rsidRPr="00B83A25" w:rsidRDefault="004B04E6" w:rsidP="00796562">
            <w:pPr>
              <w:spacing w:before="57" w:after="57"/>
              <w:jc w:val="both"/>
              <w:rPr>
                <w:sz w:val="16"/>
                <w:szCs w:val="16"/>
              </w:rPr>
            </w:pPr>
          </w:p>
          <w:p w:rsidR="004B04E6" w:rsidRPr="00B83A25"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Pr="00B83A25"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r w:rsidRPr="00B83A25">
              <w:rPr>
                <w:sz w:val="16"/>
                <w:szCs w:val="16"/>
              </w:rPr>
              <w:t>Los departamentos, municipios y distritos en cuyo territorio se adelanten explotaciones de recursos naturales no renovables, así como los municipios y distritos con puertos marítimos y fluviales por donde se transporten dichos recursos o productos derivados de los mismos, tendrán derecho a participar en las regalías y compensaciones, así como a ejecutar directamente estos recursos. </w:t>
            </w: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r w:rsidRPr="00324697">
              <w:rPr>
                <w:sz w:val="16"/>
                <w:szCs w:val="16"/>
              </w:rPr>
              <w:t>Para efectos de cumplir con los objetivos y fines del Sistema General de Regalías, créanse los Fondos de Ciencia, Tecnología e Innovación; de Desarrollo Regional; de Compensación Regional; y de Ahorro y Estabilización.</w:t>
            </w: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r w:rsidRPr="00CB325D">
              <w:rPr>
                <w:sz w:val="16"/>
                <w:szCs w:val="16"/>
              </w:rPr>
              <w:t>Los ingresos del Sistema General de Regalías se distribuirán así: un porcentaje equivalente al 10% para el Fondo de Ciencia, Tecnología e Innovación; un 10% para ahorro pensional territorial, y hasta un 30% para el Fondo de Ahorro y Estabilización. Los recursos restantes se distribuirán en un porcentaje equivalente al 20% para las asignaciones directas de que trata el inciso 2o del presente artículo, y un 80% para los Fondos de Compensación Regional, y de Desarrollo Regional. Del total de los recursos destinados a estos dos últimos Fondos, se destinará un porcentaje equivalente al 60% para el Fondo de Compensación Regional y un 40% para el Fondo de Desarrollo Regional.</w:t>
            </w: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r w:rsidRPr="007F1E8A">
              <w:rPr>
                <w:sz w:val="16"/>
                <w:szCs w:val="16"/>
              </w:rPr>
              <w:t>De los ingresos del Sistema General de Regalías, se destinará un porcentaje del 2% para fiscalización de la exploración y explotación de los yacimientos, y el conocimiento y cartografía geológica del subsuelo. Este porcentaje se descontará en forma proporcional del total de los ingresos del Sistema General de Regalías distribuidos en el inciso anterior. Las funciones aquí establecidas serán realizadas por el Ministerio de Minas y Energía o por la entidad a quien este delegue.</w:t>
            </w: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r w:rsidRPr="00B451E8">
              <w:rPr>
                <w:sz w:val="16"/>
                <w:szCs w:val="16"/>
              </w:rPr>
              <w:t xml:space="preserve">La suma de los recursos correspondientes a las asignaciones directas de que trata el inciso 2o del presente artículo, y de los recursos del Fondo de Desarrollo Regional y del Fondo de Compensación Regional, crecerán anualmente a una tasa equivalente a la mitad de la tasa de crecimiento total de los ingresos del Sistema General de Regalías. La ley que regulará el sistema definirá un mecanismo para mitigar la disminución de los mencionados recursos, que se presente como consecuencia de una reducción drástica en los ingresos del Sistema General de Regalías. </w:t>
            </w:r>
          </w:p>
          <w:p w:rsidR="004B04E6" w:rsidRPr="00B451E8" w:rsidRDefault="004B04E6" w:rsidP="00796562">
            <w:pPr>
              <w:spacing w:before="57" w:after="57"/>
              <w:jc w:val="both"/>
              <w:rPr>
                <w:sz w:val="16"/>
                <w:szCs w:val="16"/>
              </w:rPr>
            </w:pPr>
          </w:p>
          <w:p w:rsidR="004B04E6" w:rsidRDefault="004B04E6" w:rsidP="00796562">
            <w:pPr>
              <w:spacing w:before="57" w:after="57"/>
              <w:jc w:val="both"/>
              <w:rPr>
                <w:sz w:val="16"/>
                <w:szCs w:val="16"/>
              </w:rPr>
            </w:pPr>
            <w:r w:rsidRPr="00B451E8">
              <w:rPr>
                <w:sz w:val="16"/>
                <w:szCs w:val="16"/>
              </w:rPr>
              <w:t>La diferencia entre el total de los ingresos del Sistema General de Regalías y los recursos destinados al ahorro pensional territorial, al Fondo de Ciencia, Tecnología e Innovación, al Fondo de Desarrollo Regional, al Fondo de Compensación Regional, así como a los que se refiere el inciso 2o del presente artículo se destinará al Fondo de Ahorro y Estabilización.</w:t>
            </w: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r w:rsidRPr="00B451E8">
              <w:rPr>
                <w:sz w:val="16"/>
                <w:szCs w:val="16"/>
              </w:rPr>
              <w:t xml:space="preserve">Los Fondos de Ciencia, Tecnología e Innovación y de Desarrollo Regional tendrán como finalidad la financiación de proyectos regionales acordados entre las entidades territoriales y el Gobierno Nacional. </w:t>
            </w:r>
          </w:p>
          <w:p w:rsidR="004B04E6" w:rsidRPr="00B451E8" w:rsidRDefault="004B04E6" w:rsidP="00796562">
            <w:pPr>
              <w:spacing w:before="57" w:after="57"/>
              <w:jc w:val="both"/>
              <w:rPr>
                <w:sz w:val="16"/>
                <w:szCs w:val="16"/>
              </w:rPr>
            </w:pPr>
          </w:p>
          <w:p w:rsidR="004B04E6" w:rsidRDefault="004B04E6" w:rsidP="00796562">
            <w:pPr>
              <w:spacing w:before="57" w:after="57"/>
              <w:jc w:val="both"/>
              <w:rPr>
                <w:sz w:val="16"/>
                <w:szCs w:val="16"/>
              </w:rPr>
            </w:pPr>
            <w:r w:rsidRPr="00B451E8">
              <w:rPr>
                <w:sz w:val="16"/>
                <w:szCs w:val="16"/>
              </w:rPr>
              <w:t>Los recursos del Fondo de Compensación Regional se destinarán a la financiación de proyectos de impacto regional o local de desarrollo en las entidades territoriales más pobres del país, de acuerdo con criterios de Necesidades Básicas Insatisfechas (NBI), población y desempleo, y con prioridad en las zonas costeras, fronterizas y de periferia. La duración del Fondo de Compensación Regional será de treinta (30) años, contados a partir de la entrada en vigencia de la ley a la que se refiere el inciso 2o del artículo anterior. Transcurrido este período, estos recursos se destinarán al Fondo de Desarrollo Regional.</w:t>
            </w:r>
          </w:p>
          <w:p w:rsidR="004B04E6" w:rsidRPr="00B451E8" w:rsidRDefault="004B04E6" w:rsidP="00796562">
            <w:pPr>
              <w:spacing w:before="57" w:after="57"/>
              <w:jc w:val="both"/>
              <w:rPr>
                <w:sz w:val="16"/>
                <w:szCs w:val="16"/>
              </w:rPr>
            </w:pPr>
          </w:p>
          <w:p w:rsidR="004B04E6" w:rsidRPr="00B83A25" w:rsidRDefault="004B04E6" w:rsidP="00796562">
            <w:pPr>
              <w:spacing w:before="57" w:after="57"/>
              <w:jc w:val="both"/>
              <w:rPr>
                <w:sz w:val="16"/>
                <w:szCs w:val="16"/>
              </w:rPr>
            </w:pPr>
            <w:r w:rsidRPr="00B451E8">
              <w:rPr>
                <w:sz w:val="16"/>
                <w:szCs w:val="16"/>
              </w:rPr>
              <w:t>Los recursos del Fondo de Ahorro y Estabilización, así como sus rendimientos, serán administrados por el Banco de la República</w:t>
            </w:r>
            <w:r w:rsidRPr="00B451E8">
              <w:rPr>
                <w:strike/>
                <w:color w:val="FF0000"/>
                <w:sz w:val="16"/>
                <w:szCs w:val="16"/>
              </w:rPr>
              <w:t xml:space="preserve"> </w:t>
            </w:r>
            <w:r w:rsidRPr="00B451E8">
              <w:rPr>
                <w:sz w:val="16"/>
                <w:szCs w:val="16"/>
              </w:rPr>
              <w:t>en los términos que establezca el Gobierno Nacional. En los períodos de desahorro, la distribución de estos recursos entre los demás componentes del Sistema se regirá por los criterios que defina la ley a la que se refiere el inciso 2o del artículo anterior.</w:t>
            </w:r>
          </w:p>
          <w:p w:rsidR="004B04E6" w:rsidRDefault="004B04E6" w:rsidP="00796562">
            <w:pPr>
              <w:spacing w:before="57" w:after="57"/>
              <w:jc w:val="both"/>
              <w:rPr>
                <w:sz w:val="16"/>
                <w:szCs w:val="16"/>
              </w:rPr>
            </w:pPr>
          </w:p>
          <w:p w:rsidR="004B04E6" w:rsidRPr="00584E18" w:rsidRDefault="004B04E6" w:rsidP="00796562">
            <w:pPr>
              <w:spacing w:before="57" w:after="57"/>
              <w:jc w:val="both"/>
              <w:rPr>
                <w:sz w:val="16"/>
                <w:szCs w:val="16"/>
              </w:rPr>
            </w:pPr>
            <w:r w:rsidRPr="00584E18">
              <w:rPr>
                <w:sz w:val="16"/>
                <w:szCs w:val="16"/>
              </w:rPr>
              <w:t>En caso de que los recursos destinados anualmente al Fondo de Ahorro y Estabilización excedan del treinta por ciento (30%) de los ingresos anuales del Sistema General de Regalías, tal excedente se distribuirá entre los demás componentes del Sistema, conforme a los términos y condiciones que defina la ley a la que se refiere el inciso 2o del artículo anterior.</w:t>
            </w: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r w:rsidRPr="00457186">
              <w:rPr>
                <w:b/>
                <w:sz w:val="16"/>
                <w:szCs w:val="16"/>
              </w:rPr>
              <w:t>PARÁGRAFO 1o.</w:t>
            </w:r>
            <w:r w:rsidRPr="00CC5F54">
              <w:rPr>
                <w:sz w:val="16"/>
                <w:szCs w:val="16"/>
              </w:rPr>
              <w:t xml:space="preserve"> Los recursos del Sistema General de Regalías no harán parte del Presupuesto General de la Nación, ni del Sistema General de Participaciones. El Sistema General de Regalías tendrá su propio sistema presupuestal que se regirá por las normas contenidas en la ley a que se refiere el inciso 2o del artículo anterior. En todo caso, el Congreso de la República expedirá bianualmente el presupuesto del Sistema General de Regalías.</w:t>
            </w:r>
          </w:p>
          <w:p w:rsidR="004B04E6" w:rsidRDefault="004B04E6" w:rsidP="00796562">
            <w:pPr>
              <w:spacing w:before="57" w:after="57"/>
              <w:jc w:val="both"/>
              <w:rPr>
                <w:b/>
                <w:sz w:val="16"/>
                <w:szCs w:val="16"/>
              </w:rPr>
            </w:pPr>
          </w:p>
          <w:p w:rsidR="004B04E6" w:rsidRDefault="004B04E6" w:rsidP="00796562">
            <w:pPr>
              <w:spacing w:before="57" w:after="57"/>
              <w:jc w:val="both"/>
              <w:rPr>
                <w:sz w:val="16"/>
                <w:szCs w:val="16"/>
              </w:rPr>
            </w:pPr>
            <w:r w:rsidRPr="00457186">
              <w:rPr>
                <w:b/>
                <w:sz w:val="16"/>
                <w:szCs w:val="16"/>
              </w:rPr>
              <w:t>PARÁGRAFO 2o</w:t>
            </w:r>
            <w:r w:rsidRPr="003F5673">
              <w:rPr>
                <w:sz w:val="16"/>
                <w:szCs w:val="16"/>
              </w:rPr>
              <w:t>. La ejecución de los recursos correspondientes a las asignaciones directas de que trata el inciso 2o del presente artículo, así como de los recursos de los Fondos de Ciencia, Tecnología e Innovación; de Desarrollo Regional, y de Compensación Regional, se hará en concordancia con el Plan Nacional de Desarrollo y los planes de desarrollo de las entidades territoriales.</w:t>
            </w: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r w:rsidRPr="00CD2618">
              <w:rPr>
                <w:sz w:val="16"/>
                <w:szCs w:val="16"/>
              </w:rPr>
              <w:t>Los proyectos prioritarios que se financiarán con estos recursos, serán definidos por órganos colegiados de administración y decisión, de conformidad con lo establecido en la ley que regule el Sistema General de Regalías. Para el caso de los departamentos a los que se refiere el inciso 2o del presente artículo, los órganos colegiados de administración y decisión estarán integrados por dos (2) Ministros o sus delegados, el gobernador respectivo o su delegado, y un número representativo de alcaldes. La ley que regule el Sistema General de Regalías podrá crear comités de carácter consultivo para los órganos colegiados de administración y decisión,</w:t>
            </w:r>
          </w:p>
          <w:p w:rsidR="004B04E6" w:rsidRDefault="004B04E6" w:rsidP="00796562">
            <w:pPr>
              <w:spacing w:before="57" w:after="57"/>
              <w:jc w:val="both"/>
              <w:rPr>
                <w:sz w:val="16"/>
                <w:szCs w:val="16"/>
              </w:rPr>
            </w:pPr>
            <w:r w:rsidRPr="00CD2618">
              <w:rPr>
                <w:sz w:val="16"/>
                <w:szCs w:val="16"/>
              </w:rPr>
              <w:t xml:space="preserve"> con participación de la sociedad civil. En cuanto a los municipios y/o distritos a los que se refiere el inciso 2o del presente artículo, los órganos colegiados de administración y decisión estarán conformados por un delegado del Gobierno Nacional, el gobernador o su delegado y el alcalde.</w:t>
            </w: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r w:rsidRPr="003F5673">
              <w:rPr>
                <w:sz w:val="16"/>
                <w:szCs w:val="16"/>
              </w:rPr>
              <w:t>Los programas y/o proyectos en ciencia tecnología e innovación de los departamentos, municipios y distritos que se financiarán con los recursos del Fondo de Ciencia, Tecnología e Innovación, se definirán por un órgano colegiado de administración y decisión, en el cual tendrán asiento el Gobierno Nacional, representado por tres (3) Ministros o sus delegados, un (1) representante del Organismo Nacional de Planeación y un (1) representante del Organismo Nacional encargado del manejo de la política pública de ciencia y tecnología e innovación, quien además ejercerá la Secretaría Técnica, un (1) Gobernador por cada una de las instancias de planeación regional a que se refiere el inciso siguiente del presente artículo; cuatro (4) representantes de las universidades públicas y dos (2) representantes de universidades privadas. Así mismo, los recursos de este Fondo de Ciencia, Tecnología e Innovación, se distribuirán en la misma proporción en que se distribuyan a los departamentos, los recursos de los Fondos de Compensación Regional y de Desarrollo Regional. En ningún caso los recursos de este fondo podrán financiar gasto corriente.</w:t>
            </w:r>
          </w:p>
          <w:p w:rsidR="004B04E6" w:rsidRPr="003F5673" w:rsidRDefault="004B04E6" w:rsidP="00796562">
            <w:pPr>
              <w:spacing w:before="57" w:after="57"/>
              <w:jc w:val="both"/>
              <w:rPr>
                <w:sz w:val="16"/>
                <w:szCs w:val="16"/>
              </w:rPr>
            </w:pPr>
          </w:p>
          <w:p w:rsidR="004B04E6" w:rsidRDefault="004B04E6" w:rsidP="00796562">
            <w:pPr>
              <w:spacing w:before="57" w:after="57"/>
              <w:jc w:val="both"/>
              <w:rPr>
                <w:sz w:val="16"/>
                <w:szCs w:val="16"/>
              </w:rPr>
            </w:pPr>
            <w:r w:rsidRPr="003F5673">
              <w:rPr>
                <w:sz w:val="16"/>
                <w:szCs w:val="16"/>
              </w:rPr>
              <w:t>Los proyectos de impacto regional de los departamentos, municipios y distritos que se financiarán con los recursos de los Fondos de Desarrollo y Compensación Regional se definirán a través de ejercicios de planeación regional por órganos colegiados de administración y decisión donde tengan asiento cuatro (4) Ministros o sus delegados y un (1) representante del Organismo Nacional de Planeación, los gobernadores respectivos o sus delegados y un número representativo de alcaldes.</w:t>
            </w:r>
          </w:p>
          <w:p w:rsidR="004B04E6" w:rsidRPr="003F5673" w:rsidRDefault="004B04E6" w:rsidP="00796562">
            <w:pPr>
              <w:spacing w:before="57" w:after="57"/>
              <w:jc w:val="both"/>
              <w:rPr>
                <w:sz w:val="16"/>
                <w:szCs w:val="16"/>
              </w:rPr>
            </w:pPr>
          </w:p>
          <w:p w:rsidR="004B04E6" w:rsidRDefault="004B04E6" w:rsidP="00796562">
            <w:pPr>
              <w:spacing w:before="57" w:after="57"/>
              <w:jc w:val="both"/>
              <w:rPr>
                <w:sz w:val="16"/>
                <w:szCs w:val="16"/>
              </w:rPr>
            </w:pPr>
            <w:r w:rsidRPr="003F5673">
              <w:rPr>
                <w:sz w:val="16"/>
                <w:szCs w:val="16"/>
              </w:rPr>
              <w:t xml:space="preserve">La ley que regule el Sistema General de Regalías, podrá crear comités de carácter consultivo para los órganos colegiados de administración y decisión con participación de la sociedad civil. </w:t>
            </w:r>
          </w:p>
          <w:p w:rsidR="004B04E6" w:rsidRPr="003F5673" w:rsidRDefault="004B04E6" w:rsidP="00796562">
            <w:pPr>
              <w:spacing w:before="57" w:after="57"/>
              <w:jc w:val="both"/>
              <w:rPr>
                <w:sz w:val="16"/>
                <w:szCs w:val="16"/>
              </w:rPr>
            </w:pPr>
          </w:p>
          <w:p w:rsidR="004B04E6" w:rsidRPr="00B83A25" w:rsidRDefault="004B04E6" w:rsidP="00796562">
            <w:pPr>
              <w:spacing w:before="57" w:after="57"/>
              <w:jc w:val="both"/>
              <w:rPr>
                <w:sz w:val="16"/>
                <w:szCs w:val="16"/>
              </w:rPr>
            </w:pPr>
            <w:r w:rsidRPr="003F5673">
              <w:rPr>
                <w:sz w:val="16"/>
                <w:szCs w:val="16"/>
              </w:rPr>
              <w:t>En todo caso, la representación de las entidades territoriales en los órganos colegiados será mayoritaria, en relación con la del Gobierno Nacional.</w:t>
            </w:r>
          </w:p>
        </w:tc>
        <w:tc>
          <w:tcPr>
            <w:tcW w:w="1382" w:type="pct"/>
          </w:tcPr>
          <w:p w:rsidR="004B04E6" w:rsidRPr="00B83A25" w:rsidRDefault="004B04E6" w:rsidP="00796562">
            <w:pPr>
              <w:spacing w:before="57" w:after="57"/>
              <w:jc w:val="both"/>
              <w:rPr>
                <w:sz w:val="16"/>
                <w:szCs w:val="16"/>
              </w:rPr>
            </w:pPr>
            <w:r w:rsidRPr="00324697">
              <w:rPr>
                <w:b/>
                <w:sz w:val="16"/>
                <w:szCs w:val="16"/>
              </w:rPr>
              <w:t>ARTICULO 361</w:t>
            </w:r>
            <w:r w:rsidRPr="00B83A25">
              <w:rPr>
                <w:sz w:val="16"/>
                <w:szCs w:val="16"/>
              </w:rPr>
              <w:t xml:space="preserve">. &lt;Artículo modificado por el artículo 2 del Acto Legislativo 5 de 2011. El nuevo texto es el siguiente:&gt; Los ingresos del Sistema General de Regalías se destinarán al financiamiento de proyectos para el desarrollo social, económico y ambiental de las entidades territoriales; al ahorro para su pasivo pensional; para inversiones </w:t>
            </w:r>
            <w:r w:rsidRPr="000D15A0">
              <w:rPr>
                <w:strike/>
                <w:color w:val="FF0000"/>
                <w:sz w:val="16"/>
                <w:szCs w:val="16"/>
              </w:rPr>
              <w:t>físicas</w:t>
            </w:r>
            <w:r w:rsidRPr="00B83A25">
              <w:rPr>
                <w:sz w:val="16"/>
                <w:szCs w:val="16"/>
              </w:rPr>
              <w:t xml:space="preserve"> en educación</w:t>
            </w:r>
            <w:r w:rsidRPr="00B83A25">
              <w:rPr>
                <w:color w:val="0000FF"/>
                <w:sz w:val="16"/>
                <w:szCs w:val="16"/>
              </w:rPr>
              <w:t xml:space="preserve">, </w:t>
            </w:r>
            <w:r w:rsidRPr="00B83A25">
              <w:rPr>
                <w:b/>
                <w:color w:val="0000FF"/>
                <w:sz w:val="16"/>
                <w:szCs w:val="16"/>
                <w:u w:val="single"/>
              </w:rPr>
              <w:t>en cualquier nivel del sistema educativo</w:t>
            </w:r>
            <w:r w:rsidRPr="00B83A25">
              <w:rPr>
                <w:color w:val="0000FF"/>
                <w:sz w:val="16"/>
                <w:szCs w:val="16"/>
              </w:rPr>
              <w:t>,</w:t>
            </w:r>
            <w:r w:rsidRPr="00B83A25">
              <w:rPr>
                <w:sz w:val="16"/>
                <w:szCs w:val="16"/>
              </w:rPr>
              <w:t xml:space="preserve"> para inversiones en ciencia, tecnología e innovación; para la generación de ahorro público; para la fiscalización de </w:t>
            </w:r>
            <w:r w:rsidRPr="00B83A25">
              <w:rPr>
                <w:b/>
                <w:color w:val="0000FF"/>
                <w:sz w:val="16"/>
                <w:szCs w:val="16"/>
                <w:u w:val="single"/>
              </w:rPr>
              <w:t>las regalías para,</w:t>
            </w:r>
            <w:r w:rsidRPr="00B83A25">
              <w:rPr>
                <w:sz w:val="16"/>
                <w:szCs w:val="16"/>
              </w:rPr>
              <w:t xml:space="preserve">la </w:t>
            </w:r>
            <w:r w:rsidRPr="00B83A25">
              <w:rPr>
                <w:strike/>
                <w:color w:val="FF0000"/>
                <w:sz w:val="16"/>
                <w:szCs w:val="16"/>
              </w:rPr>
              <w:t>exploración y</w:t>
            </w:r>
            <w:r w:rsidRPr="00B83A25">
              <w:rPr>
                <w:sz w:val="16"/>
                <w:szCs w:val="16"/>
              </w:rPr>
              <w:t xml:space="preserve"> explotación de los yacimientos </w:t>
            </w:r>
            <w:r w:rsidRPr="00B83A25">
              <w:rPr>
                <w:strike/>
                <w:color w:val="FF0000"/>
                <w:sz w:val="16"/>
                <w:szCs w:val="16"/>
              </w:rPr>
              <w:t>y conocimiento y cartografía geológica del subsuelo</w:t>
            </w:r>
            <w:r w:rsidRPr="00B83A25">
              <w:rPr>
                <w:sz w:val="16"/>
                <w:szCs w:val="16"/>
              </w:rPr>
              <w:t>; y para aumentar la competitividad general de la economía buscando mejorar las condiciones sociales de la población.</w:t>
            </w:r>
            <w:r>
              <w:rPr>
                <w:sz w:val="16"/>
                <w:szCs w:val="16"/>
              </w:rPr>
              <w:t xml:space="preserve"> </w:t>
            </w:r>
            <w:r w:rsidRPr="00BC1432">
              <w:rPr>
                <w:b/>
                <w:color w:val="0000FF"/>
                <w:sz w:val="16"/>
                <w:szCs w:val="16"/>
                <w:u w:val="single"/>
              </w:rPr>
              <w:t>Las regalías se pagarán</w:t>
            </w:r>
            <w:r>
              <w:rPr>
                <w:b/>
                <w:color w:val="0000FF"/>
                <w:sz w:val="16"/>
                <w:szCs w:val="16"/>
                <w:u w:val="single"/>
              </w:rPr>
              <w:t xml:space="preserve"> en</w:t>
            </w:r>
            <w:r w:rsidRPr="00BC1432">
              <w:rPr>
                <w:b/>
                <w:color w:val="0000FF"/>
                <w:sz w:val="16"/>
                <w:szCs w:val="16"/>
                <w:u w:val="single"/>
              </w:rPr>
              <w:t xml:space="preserve"> especie.</w:t>
            </w: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Pr="00B83A25" w:rsidRDefault="004B04E6" w:rsidP="00796562">
            <w:pPr>
              <w:spacing w:before="57" w:after="57"/>
              <w:jc w:val="both"/>
              <w:rPr>
                <w:sz w:val="16"/>
                <w:szCs w:val="16"/>
              </w:rPr>
            </w:pPr>
            <w:r w:rsidRPr="00B83A25">
              <w:rPr>
                <w:sz w:val="16"/>
                <w:szCs w:val="16"/>
              </w:rPr>
              <w:t xml:space="preserve">Los departamentos, municipios y distritos en cuyo territorio se adelanten explotaciones de recursos naturales no renovables, así como los municipios y distritos con puertos marítimos y fluviales por donde se transporten dichos recursos o productos derivados de los mismos, tendrán derecho a participar en las regalías y compensaciones, así como </w:t>
            </w:r>
            <w:r w:rsidRPr="00B83A25">
              <w:rPr>
                <w:b/>
                <w:color w:val="0000FF"/>
                <w:sz w:val="16"/>
                <w:szCs w:val="16"/>
                <w:u w:val="single"/>
              </w:rPr>
              <w:t>viabilizar, aprobar, priorizar</w:t>
            </w:r>
            <w:r w:rsidRPr="00B83A25">
              <w:rPr>
                <w:sz w:val="16"/>
                <w:szCs w:val="16"/>
              </w:rPr>
              <w:t xml:space="preserve"> </w:t>
            </w:r>
            <w:r w:rsidRPr="00B83A25">
              <w:rPr>
                <w:strike/>
                <w:color w:val="FF0000"/>
                <w:sz w:val="16"/>
                <w:szCs w:val="16"/>
              </w:rPr>
              <w:t>a</w:t>
            </w:r>
            <w:r w:rsidRPr="00B83A25">
              <w:rPr>
                <w:sz w:val="16"/>
                <w:szCs w:val="16"/>
              </w:rPr>
              <w:t xml:space="preserve"> </w:t>
            </w:r>
            <w:r w:rsidRPr="00B83A25">
              <w:rPr>
                <w:b/>
                <w:color w:val="0000FF"/>
                <w:sz w:val="16"/>
                <w:szCs w:val="16"/>
                <w:u w:val="single"/>
              </w:rPr>
              <w:t>y</w:t>
            </w:r>
            <w:r w:rsidRPr="00B83A25">
              <w:rPr>
                <w:sz w:val="16"/>
                <w:szCs w:val="16"/>
              </w:rPr>
              <w:t xml:space="preserve"> ejecutar directamente estos recursos.</w:t>
            </w:r>
          </w:p>
          <w:p w:rsidR="004B04E6" w:rsidRPr="00B83A25" w:rsidRDefault="004B04E6" w:rsidP="00796562">
            <w:pPr>
              <w:spacing w:before="57" w:after="57"/>
              <w:jc w:val="both"/>
              <w:rPr>
                <w:sz w:val="16"/>
                <w:szCs w:val="16"/>
              </w:rPr>
            </w:pPr>
          </w:p>
          <w:p w:rsidR="004B04E6" w:rsidRPr="00B83A25"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Pr="00B83A25" w:rsidRDefault="004B04E6" w:rsidP="00796562">
            <w:pPr>
              <w:spacing w:before="57" w:after="57"/>
              <w:jc w:val="both"/>
              <w:rPr>
                <w:sz w:val="16"/>
                <w:szCs w:val="16"/>
              </w:rPr>
            </w:pPr>
          </w:p>
          <w:p w:rsidR="004B04E6" w:rsidRPr="00B83A25" w:rsidRDefault="004B04E6" w:rsidP="00796562">
            <w:pPr>
              <w:spacing w:before="57" w:after="57"/>
              <w:jc w:val="both"/>
              <w:rPr>
                <w:sz w:val="16"/>
                <w:szCs w:val="16"/>
              </w:rPr>
            </w:pPr>
          </w:p>
          <w:p w:rsidR="004B04E6" w:rsidRDefault="004B04E6" w:rsidP="00796562">
            <w:pPr>
              <w:spacing w:before="57" w:after="57"/>
              <w:jc w:val="both"/>
              <w:rPr>
                <w:sz w:val="16"/>
                <w:szCs w:val="16"/>
              </w:rPr>
            </w:pPr>
            <w:r w:rsidRPr="00CB325D">
              <w:rPr>
                <w:sz w:val="16"/>
                <w:szCs w:val="16"/>
              </w:rPr>
              <w:t xml:space="preserve">Los ingresos del Sistema General de Regalías se distribuirán así: un porcentaje equivalente al </w:t>
            </w:r>
            <w:r w:rsidRPr="00CB325D">
              <w:rPr>
                <w:strike/>
                <w:color w:val="FF0000"/>
                <w:sz w:val="16"/>
                <w:szCs w:val="16"/>
              </w:rPr>
              <w:t>10%</w:t>
            </w:r>
            <w:r w:rsidRPr="00CB325D">
              <w:rPr>
                <w:sz w:val="16"/>
                <w:szCs w:val="16"/>
              </w:rPr>
              <w:t xml:space="preserve"> </w:t>
            </w:r>
            <w:r w:rsidRPr="0003580D">
              <w:rPr>
                <w:b/>
                <w:color w:val="0000FF"/>
                <w:sz w:val="16"/>
                <w:szCs w:val="16"/>
                <w:u w:val="single"/>
              </w:rPr>
              <w:t>37% para las asignaciones directas; para el Fondo de Desarrollo Regional y el Fondo de Compensación Regional un porcentaje equivalente al 28%;</w:t>
            </w:r>
            <w:r w:rsidRPr="00CB325D">
              <w:rPr>
                <w:sz w:val="16"/>
                <w:szCs w:val="16"/>
              </w:rPr>
              <w:t xml:space="preserve"> para el Fondo de Ciencia, Tecnología e Innovación </w:t>
            </w:r>
            <w:r w:rsidRPr="0003580D">
              <w:rPr>
                <w:b/>
                <w:color w:val="0000FF"/>
                <w:sz w:val="16"/>
                <w:szCs w:val="16"/>
                <w:u w:val="single"/>
              </w:rPr>
              <w:t>un porcentaje equivalente al 8%;</w:t>
            </w:r>
            <w:r w:rsidRPr="00CB325D">
              <w:rPr>
                <w:sz w:val="16"/>
                <w:szCs w:val="16"/>
              </w:rPr>
              <w:t xml:space="preserve"> un 10% para ahorro pensional territorial, </w:t>
            </w:r>
            <w:r w:rsidRPr="00CB325D">
              <w:rPr>
                <w:strike/>
                <w:color w:val="FF0000"/>
                <w:sz w:val="16"/>
                <w:szCs w:val="16"/>
              </w:rPr>
              <w:t>y hasta</w:t>
            </w:r>
            <w:r w:rsidRPr="00CB325D">
              <w:rPr>
                <w:color w:val="FF0000"/>
                <w:sz w:val="16"/>
                <w:szCs w:val="16"/>
              </w:rPr>
              <w:t xml:space="preserve"> </w:t>
            </w:r>
            <w:r w:rsidRPr="00CB325D">
              <w:rPr>
                <w:sz w:val="16"/>
                <w:szCs w:val="16"/>
              </w:rPr>
              <w:t xml:space="preserve">un </w:t>
            </w:r>
            <w:r w:rsidRPr="00CB325D">
              <w:rPr>
                <w:strike/>
                <w:color w:val="FF0000"/>
                <w:sz w:val="16"/>
                <w:szCs w:val="16"/>
              </w:rPr>
              <w:t>30%</w:t>
            </w:r>
            <w:r w:rsidRPr="00CB325D">
              <w:rPr>
                <w:sz w:val="16"/>
                <w:szCs w:val="16"/>
              </w:rPr>
              <w:t xml:space="preserve"> </w:t>
            </w:r>
            <w:r w:rsidRPr="0003580D">
              <w:rPr>
                <w:b/>
                <w:color w:val="0000FF"/>
                <w:sz w:val="16"/>
                <w:szCs w:val="16"/>
                <w:u w:val="single"/>
              </w:rPr>
              <w:t>14%</w:t>
            </w:r>
            <w:r w:rsidRPr="00CB325D">
              <w:rPr>
                <w:sz w:val="16"/>
                <w:szCs w:val="16"/>
              </w:rPr>
              <w:t xml:space="preserve"> para el Fondo de Ahorro y Estabilización; </w:t>
            </w:r>
            <w:r w:rsidRPr="0003580D">
              <w:rPr>
                <w:b/>
                <w:color w:val="0000FF"/>
                <w:sz w:val="16"/>
                <w:szCs w:val="16"/>
                <w:u w:val="single"/>
              </w:rPr>
              <w:t>un porcentaje equivalente al 1% para el Sistema de Monitoreo, Seguimiento, Control y Evaluación de las Regalías que se crea en este artículo; Un porcentaje equivalente al 1% para el funcionamiento del Sistema General de Regalías; un porcentaje equivalente al 0.5% para Fiscalización de Regalías provenientes de la explotación de los yacimientos y; un porcentaje equivalente 0.5 para los municipios ribereños del Río Magdalena y Canal del Dique.</w:t>
            </w:r>
            <w:r w:rsidRPr="00CB325D">
              <w:rPr>
                <w:sz w:val="16"/>
                <w:szCs w:val="16"/>
              </w:rPr>
              <w:t xml:space="preserve"> </w:t>
            </w:r>
            <w:r w:rsidRPr="00CB325D">
              <w:rPr>
                <w:strike/>
                <w:color w:val="FF0000"/>
                <w:sz w:val="16"/>
                <w:szCs w:val="16"/>
              </w:rPr>
              <w:t>Los recursos restantes se distribuirán en un porcentaje equivalente al 20% para las asignaciones directas de que trata el inciso 2o del presente artículo, y un 80% para los Fondos de Compensación Regional, y de Desarrollo Regional.</w:t>
            </w:r>
            <w:r w:rsidRPr="00CB325D">
              <w:rPr>
                <w:sz w:val="16"/>
                <w:szCs w:val="16"/>
              </w:rPr>
              <w:t xml:space="preserve"> Del total de los recursos destinados a los fondos de Desarrollo Regional y Compensación Regional </w:t>
            </w:r>
            <w:r w:rsidRPr="00CB325D">
              <w:rPr>
                <w:strike/>
                <w:color w:val="FF0000"/>
                <w:sz w:val="16"/>
                <w:szCs w:val="16"/>
              </w:rPr>
              <w:t>estos dos últimos Fondos</w:t>
            </w:r>
            <w:r w:rsidRPr="00CB325D">
              <w:rPr>
                <w:sz w:val="16"/>
                <w:szCs w:val="16"/>
              </w:rPr>
              <w:t xml:space="preserve">, se destinará un porcentaje equivalente al 60% para el Fondo de Compensación Regional y un 40% para el Fondo de Desarrollo Regional. </w:t>
            </w:r>
            <w:r>
              <w:rPr>
                <w:b/>
                <w:color w:val="0000FF"/>
                <w:sz w:val="16"/>
                <w:szCs w:val="16"/>
                <w:u w:val="single"/>
              </w:rPr>
              <w:t>Del total de las asignaciones directas se destinará un porcentaje equivalente al 3% para inversión en las universidades públicas que tengan sede en los entes productores.</w:t>
            </w: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r w:rsidRPr="007F1E8A">
              <w:rPr>
                <w:strike/>
                <w:color w:val="FF0000"/>
                <w:sz w:val="16"/>
                <w:szCs w:val="16"/>
              </w:rPr>
              <w:t>De los ingresos del Sistema General de Regalías, se destinará un porcentaje del 2% para fiscalización de la exploración y explotación de los yacimientos, y el conocimiento y cartografía geológica del subsuelo. Este porcentaje se descontará en forma proporcional del total de los ingresos del Sistema General de Regalías distribuidos en el inciso anterior.</w:t>
            </w:r>
            <w:r w:rsidRPr="007F1E8A">
              <w:rPr>
                <w:sz w:val="16"/>
                <w:szCs w:val="16"/>
              </w:rPr>
              <w:t xml:space="preserve"> La</w:t>
            </w:r>
            <w:r w:rsidRPr="007F1E8A">
              <w:rPr>
                <w:strike/>
                <w:color w:val="FF0000"/>
                <w:sz w:val="16"/>
                <w:szCs w:val="16"/>
              </w:rPr>
              <w:t>s</w:t>
            </w:r>
            <w:r>
              <w:rPr>
                <w:sz w:val="16"/>
                <w:szCs w:val="16"/>
              </w:rPr>
              <w:t xml:space="preserve"> funció</w:t>
            </w:r>
            <w:r w:rsidRPr="007F1E8A">
              <w:rPr>
                <w:sz w:val="16"/>
                <w:szCs w:val="16"/>
              </w:rPr>
              <w:t>n</w:t>
            </w:r>
            <w:r w:rsidRPr="007F1E8A">
              <w:rPr>
                <w:strike/>
                <w:color w:val="FF0000"/>
                <w:sz w:val="16"/>
                <w:szCs w:val="16"/>
              </w:rPr>
              <w:t>es</w:t>
            </w:r>
            <w:r w:rsidRPr="007F1E8A">
              <w:rPr>
                <w:sz w:val="16"/>
                <w:szCs w:val="16"/>
              </w:rPr>
              <w:t xml:space="preserve"> </w:t>
            </w:r>
            <w:r w:rsidRPr="007F1E8A">
              <w:rPr>
                <w:b/>
                <w:color w:val="0000FF"/>
                <w:sz w:val="16"/>
                <w:szCs w:val="16"/>
                <w:u w:val="single"/>
              </w:rPr>
              <w:t>de fiscalización</w:t>
            </w:r>
            <w:r w:rsidRPr="007F1E8A">
              <w:rPr>
                <w:sz w:val="16"/>
                <w:szCs w:val="16"/>
              </w:rPr>
              <w:t xml:space="preserve"> aquí establecida</w:t>
            </w:r>
            <w:r w:rsidRPr="00B451E8">
              <w:rPr>
                <w:strike/>
                <w:color w:val="FF0000"/>
                <w:sz w:val="16"/>
                <w:szCs w:val="16"/>
              </w:rPr>
              <w:t>s</w:t>
            </w:r>
            <w:r w:rsidRPr="007F1E8A">
              <w:rPr>
                <w:sz w:val="16"/>
                <w:szCs w:val="16"/>
              </w:rPr>
              <w:t xml:space="preserve"> serán realizadas por el Ministerio de Minas y Energía o por la entidad a quien este delegue.</w:t>
            </w:r>
          </w:p>
          <w:p w:rsidR="004B04E6" w:rsidRDefault="004B04E6" w:rsidP="00796562">
            <w:pPr>
              <w:spacing w:before="57" w:after="57"/>
              <w:jc w:val="both"/>
              <w:rPr>
                <w:sz w:val="16"/>
                <w:szCs w:val="16"/>
              </w:rPr>
            </w:pPr>
          </w:p>
          <w:p w:rsidR="004B04E6" w:rsidRPr="00B451E8" w:rsidRDefault="004B04E6" w:rsidP="00796562">
            <w:pPr>
              <w:spacing w:before="57" w:after="57"/>
              <w:jc w:val="both"/>
              <w:rPr>
                <w:sz w:val="16"/>
                <w:szCs w:val="16"/>
              </w:rPr>
            </w:pPr>
            <w:r w:rsidRPr="00B451E8">
              <w:rPr>
                <w:strike/>
                <w:color w:val="FF0000"/>
                <w:sz w:val="16"/>
                <w:szCs w:val="16"/>
              </w:rPr>
              <w:t>La suma de los recursos correspondientes a las asignaciones directas de que trata el inciso 2o del presente artículo, y de los recursos del Fondo de Desarrollo Regional y del Fondo de Compensación Regional, crecerán anualmente a una tasa equivalente a la mitad de la tasa de</w:t>
            </w:r>
            <w:r w:rsidRPr="00B451E8">
              <w:rPr>
                <w:sz w:val="16"/>
                <w:szCs w:val="16"/>
              </w:rPr>
              <w:t xml:space="preserve"> </w:t>
            </w:r>
            <w:r w:rsidRPr="00B451E8">
              <w:rPr>
                <w:strike/>
                <w:color w:val="FF0000"/>
                <w:sz w:val="16"/>
                <w:szCs w:val="16"/>
              </w:rPr>
              <w:t>crecimiento total de los ingresos del Sistema General de Regalías. La ley que regulará el sistema definirá un mecanismo para mitigar la disminución de los mencionados recursos, que se presente como consecuencia de una reducción drástica en los ingresos del Sistema General de Regalías.</w:t>
            </w:r>
            <w:r w:rsidRPr="00B451E8">
              <w:rPr>
                <w:sz w:val="16"/>
                <w:szCs w:val="16"/>
              </w:rPr>
              <w:t xml:space="preserve"> </w:t>
            </w:r>
          </w:p>
          <w:p w:rsidR="004B04E6" w:rsidRPr="00B451E8" w:rsidRDefault="004B04E6" w:rsidP="00796562">
            <w:pPr>
              <w:spacing w:before="57" w:after="57"/>
              <w:jc w:val="both"/>
              <w:rPr>
                <w:sz w:val="16"/>
                <w:szCs w:val="16"/>
              </w:rPr>
            </w:pPr>
          </w:p>
          <w:p w:rsidR="004B04E6" w:rsidRDefault="004B04E6" w:rsidP="00796562">
            <w:pPr>
              <w:spacing w:before="57" w:after="57"/>
              <w:jc w:val="both"/>
              <w:rPr>
                <w:strike/>
                <w:color w:val="FF0000"/>
                <w:sz w:val="16"/>
                <w:szCs w:val="16"/>
              </w:rPr>
            </w:pPr>
            <w:r w:rsidRPr="00B451E8">
              <w:rPr>
                <w:strike/>
                <w:color w:val="FF0000"/>
                <w:sz w:val="16"/>
                <w:szCs w:val="16"/>
              </w:rPr>
              <w:t>La diferencia entre el total de los ingresos del Sistema General de Regalías y los recursos destinados al ahorro pensional territorial, al Fondo de Ciencia, Tecnología e Innovación, al Fondo de Desarrollo Regional, al Fondo de Compensación Regional, así como a los que se refiere el inciso 2o del presente artículo se destinará al Fondo de Ahorro y Estabilización.</w:t>
            </w:r>
          </w:p>
          <w:p w:rsidR="004B04E6" w:rsidRDefault="004B04E6" w:rsidP="00796562">
            <w:pPr>
              <w:spacing w:before="57" w:after="57"/>
              <w:jc w:val="both"/>
              <w:rPr>
                <w:strike/>
                <w:color w:val="FF0000"/>
                <w:sz w:val="16"/>
                <w:szCs w:val="16"/>
              </w:rPr>
            </w:pPr>
          </w:p>
          <w:p w:rsidR="004B04E6" w:rsidRPr="00B451E8" w:rsidRDefault="004B04E6" w:rsidP="00796562">
            <w:pPr>
              <w:spacing w:before="57" w:after="57"/>
              <w:jc w:val="both"/>
              <w:rPr>
                <w:sz w:val="16"/>
                <w:szCs w:val="16"/>
              </w:rPr>
            </w:pPr>
          </w:p>
          <w:p w:rsidR="004B04E6" w:rsidRPr="00B451E8" w:rsidRDefault="004B04E6" w:rsidP="00796562">
            <w:pPr>
              <w:spacing w:before="57" w:after="57"/>
              <w:jc w:val="both"/>
              <w:rPr>
                <w:strike/>
                <w:color w:val="FF0000"/>
                <w:sz w:val="16"/>
                <w:szCs w:val="16"/>
              </w:rPr>
            </w:pPr>
          </w:p>
          <w:p w:rsidR="004B04E6" w:rsidRPr="00B83A25"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Pr="00CC5F54" w:rsidRDefault="004B04E6" w:rsidP="00796562">
            <w:pPr>
              <w:spacing w:before="57" w:after="57"/>
              <w:jc w:val="both"/>
              <w:rPr>
                <w:strike/>
                <w:color w:val="FF0000"/>
                <w:sz w:val="16"/>
                <w:szCs w:val="16"/>
              </w:rPr>
            </w:pPr>
            <w:r w:rsidRPr="00CC5F54">
              <w:rPr>
                <w:strike/>
                <w:color w:val="FF0000"/>
                <w:sz w:val="16"/>
                <w:szCs w:val="16"/>
              </w:rPr>
              <w:t>En caso de que los recursos destinados anualmente al Fondo de Ahorro y Estabilización excedan del treinta por ciento (30%) de los ingresos anuales del Sistema General de Regalías, tal excedente se distribuirá entre los demás componentes del Sistema, conforme a los términos y condiciones que defina la ley a la que se refiere el inciso 2o del artículo anterior.</w:t>
            </w:r>
          </w:p>
          <w:p w:rsidR="004B04E6" w:rsidRPr="00CC5F54"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Pr="003F5673" w:rsidRDefault="004B04E6" w:rsidP="00796562">
            <w:pPr>
              <w:spacing w:before="57" w:after="57"/>
              <w:jc w:val="both"/>
              <w:rPr>
                <w:sz w:val="16"/>
                <w:szCs w:val="16"/>
              </w:rPr>
            </w:pPr>
          </w:p>
          <w:p w:rsidR="004B04E6" w:rsidRPr="00E42526" w:rsidRDefault="004B04E6" w:rsidP="00796562">
            <w:pPr>
              <w:spacing w:before="57" w:after="57"/>
              <w:jc w:val="both"/>
              <w:rPr>
                <w:strike/>
                <w:color w:val="FF0000"/>
                <w:sz w:val="16"/>
                <w:szCs w:val="16"/>
              </w:rPr>
            </w:pPr>
            <w:r w:rsidRPr="003F5673">
              <w:rPr>
                <w:sz w:val="16"/>
                <w:szCs w:val="16"/>
              </w:rPr>
              <w:t xml:space="preserve">Los proyectos prioritarios que se financiarán con estos recursos, </w:t>
            </w:r>
            <w:r w:rsidRPr="00CD2618">
              <w:rPr>
                <w:b/>
                <w:color w:val="0000FF"/>
                <w:sz w:val="16"/>
                <w:szCs w:val="16"/>
                <w:u w:val="single"/>
              </w:rPr>
              <w:t>salvo los de asignación directa</w:t>
            </w:r>
            <w:r w:rsidRPr="003F5673">
              <w:rPr>
                <w:sz w:val="16"/>
                <w:szCs w:val="16"/>
              </w:rPr>
              <w:t xml:space="preserve">, serán definidos por órganos colegiados de administración y decisión, de conformidad con lo establecido en la ley que regule el Sistema General de Regalías. </w:t>
            </w:r>
            <w:r w:rsidRPr="00E42526">
              <w:rPr>
                <w:strike/>
                <w:color w:val="FF0000"/>
                <w:sz w:val="16"/>
                <w:szCs w:val="16"/>
              </w:rPr>
              <w:t>Para el caso de los departamentos a los que se refiere el inciso 2o del presente artículo, los órganos colegiados de administración y decisión estarán integrados por dos (2) Ministros o sus delegados, el gobernador respectivo o su delegado, y un número representativo de alcaldes. La ley que regule el Sistema General de Regalías podrá crear comités de carácter consultivo para los órganos colegiados de administración y decisión, con participación de la sociedad civil. En cuanto a los municipios y/o distritos a los que se refiere el inciso 2o del presente artículo, los órganos colegiados de administración y decisión estarán conformados por un delegado del Gobierno Nacional, el gobernador o su delegado y el alcalde.</w:t>
            </w:r>
          </w:p>
          <w:p w:rsidR="004B04E6" w:rsidRPr="00B83A25" w:rsidRDefault="004B04E6" w:rsidP="00796562">
            <w:pPr>
              <w:spacing w:before="57" w:after="57"/>
              <w:jc w:val="both"/>
              <w:rPr>
                <w:sz w:val="16"/>
                <w:szCs w:val="16"/>
              </w:rPr>
            </w:pPr>
          </w:p>
        </w:tc>
        <w:tc>
          <w:tcPr>
            <w:tcW w:w="1381" w:type="pct"/>
          </w:tcPr>
          <w:p w:rsidR="004B04E6" w:rsidRPr="00B83A25" w:rsidRDefault="004B04E6" w:rsidP="00796562">
            <w:pPr>
              <w:spacing w:before="57" w:after="57"/>
              <w:jc w:val="both"/>
              <w:rPr>
                <w:sz w:val="16"/>
                <w:szCs w:val="16"/>
              </w:rPr>
            </w:pPr>
            <w:r w:rsidRPr="00324697">
              <w:rPr>
                <w:b/>
                <w:sz w:val="16"/>
                <w:szCs w:val="16"/>
              </w:rPr>
              <w:t>ARTICULO 361.</w:t>
            </w:r>
            <w:r w:rsidRPr="00B83A25">
              <w:rPr>
                <w:sz w:val="16"/>
                <w:szCs w:val="16"/>
              </w:rPr>
              <w:t xml:space="preserve"> &lt;Artículo modificado por el artículo 2 del Acto Legislativo 5 de 2011. El nuevo texto es el siguiente:&gt; Los ingresos del Sistema General de Regalías se destinarán al financiamiento de proyectos para el desarrollo social, económico y ambiental de las entidades territoriales; al ahorro para su pasivo pen</w:t>
            </w:r>
            <w:r>
              <w:rPr>
                <w:sz w:val="16"/>
                <w:szCs w:val="16"/>
              </w:rPr>
              <w:t xml:space="preserve">sional; para inversiones </w:t>
            </w:r>
            <w:r w:rsidRPr="00B83A25">
              <w:rPr>
                <w:sz w:val="16"/>
                <w:szCs w:val="16"/>
              </w:rPr>
              <w:t>en educación en cualquier nivel del sistema educativo, para inversiones en ciencia, tecnología e innovación; para la generación de ahorro público; para la fiscalización de las regalías para la explotación de los yacimientos; y para aumentar la competitividad general de la economía buscando mejorar las condiciones sociales de la población.</w:t>
            </w:r>
            <w:r>
              <w:rPr>
                <w:sz w:val="16"/>
                <w:szCs w:val="16"/>
              </w:rPr>
              <w:t xml:space="preserve"> Las regalías.</w:t>
            </w:r>
            <w:r w:rsidRPr="00323779">
              <w:rPr>
                <w:sz w:val="16"/>
                <w:szCs w:val="16"/>
              </w:rPr>
              <w:t xml:space="preserve"> Las regalías se pagarán e</w:t>
            </w:r>
            <w:r>
              <w:rPr>
                <w:sz w:val="16"/>
                <w:szCs w:val="16"/>
              </w:rPr>
              <w:t>n</w:t>
            </w:r>
            <w:r w:rsidRPr="00323779">
              <w:rPr>
                <w:sz w:val="16"/>
                <w:szCs w:val="16"/>
              </w:rPr>
              <w:t xml:space="preserve"> especie.</w:t>
            </w:r>
          </w:p>
          <w:p w:rsidR="004B04E6" w:rsidRDefault="004B04E6" w:rsidP="00796562">
            <w:pPr>
              <w:spacing w:before="57" w:after="57"/>
              <w:jc w:val="both"/>
              <w:rPr>
                <w:sz w:val="16"/>
                <w:szCs w:val="16"/>
              </w:rPr>
            </w:pPr>
            <w:r>
              <w:rPr>
                <w:sz w:val="16"/>
                <w:szCs w:val="16"/>
              </w:rPr>
              <w:t>33</w:t>
            </w:r>
          </w:p>
          <w:p w:rsidR="004B04E6" w:rsidRDefault="004B04E6" w:rsidP="00796562">
            <w:pPr>
              <w:spacing w:before="57" w:after="57"/>
              <w:jc w:val="both"/>
              <w:rPr>
                <w:sz w:val="16"/>
                <w:szCs w:val="16"/>
              </w:rPr>
            </w:pPr>
            <w:r w:rsidRPr="00B83A25">
              <w:rPr>
                <w:sz w:val="16"/>
                <w:szCs w:val="16"/>
              </w:rPr>
              <w:t xml:space="preserve">     </w:t>
            </w:r>
          </w:p>
          <w:p w:rsidR="004B04E6" w:rsidRDefault="004B04E6" w:rsidP="00796562">
            <w:pPr>
              <w:spacing w:before="57" w:after="57"/>
              <w:jc w:val="both"/>
              <w:rPr>
                <w:sz w:val="16"/>
                <w:szCs w:val="16"/>
              </w:rPr>
            </w:pPr>
            <w:r w:rsidRPr="00B83A25">
              <w:rPr>
                <w:sz w:val="16"/>
                <w:szCs w:val="16"/>
              </w:rPr>
              <w:t xml:space="preserve">           </w:t>
            </w: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r w:rsidRPr="00B83A25">
              <w:rPr>
                <w:sz w:val="16"/>
                <w:szCs w:val="16"/>
              </w:rPr>
              <w:t xml:space="preserve">         </w:t>
            </w: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r w:rsidRPr="00B83A25">
              <w:rPr>
                <w:sz w:val="16"/>
                <w:szCs w:val="16"/>
              </w:rPr>
              <w:t>Los departamentos, municipios y distritos en cuyo territorio se adelanten explotaciones de recursos naturales no renovables, así como los municipios y distritos con puertos marítimos y fluviales por donde se transporten dichos recursos o productos derivados de los mismos, tendrán derecho a participar en las regalías y compensaciones, así como viabilizar, aprobar, priorizar y ejecutar directamente estos recursos.</w:t>
            </w: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r w:rsidRPr="00324697">
              <w:rPr>
                <w:sz w:val="16"/>
                <w:szCs w:val="16"/>
              </w:rPr>
              <w:t>Para efectos de cumplir con los objetivos y fines del Sistema General de Regalías, créanse los Fondos de Ciencia, Tecnología e Innovación; de Desarrollo Regional; de Compensación Regional; y de Ahorro y Estabilización.</w:t>
            </w:r>
          </w:p>
          <w:p w:rsidR="004B04E6" w:rsidRDefault="004B04E6" w:rsidP="00796562">
            <w:pPr>
              <w:spacing w:before="57" w:after="57"/>
              <w:jc w:val="both"/>
              <w:rPr>
                <w:sz w:val="16"/>
                <w:szCs w:val="16"/>
              </w:rPr>
            </w:pPr>
          </w:p>
          <w:p w:rsidR="004B04E6" w:rsidRPr="005C0C74" w:rsidRDefault="004B04E6" w:rsidP="00796562">
            <w:pPr>
              <w:spacing w:before="57" w:after="57"/>
              <w:jc w:val="both"/>
              <w:rPr>
                <w:sz w:val="16"/>
                <w:szCs w:val="16"/>
              </w:rPr>
            </w:pPr>
            <w:r w:rsidRPr="00CB325D">
              <w:rPr>
                <w:sz w:val="16"/>
                <w:szCs w:val="16"/>
              </w:rPr>
              <w:t>Los ingresos del Sistema General de Regalías se distribuirán así: un porcentaje equivalente al  37% para las asignaciones directas; para el Fondo de Desarrollo Regional y el Fondo de Compensación Regional un porcentaje equivalente al 28%; para el Fondo de Ciencia, Tecnología e Innovación un porcentaje equivalente al 8%; un 10% para ahorro pensional territorial, un  14% para el Fondo de Ahorro y Estabilización; un porcentaje equivalente al 1% para el Sistema de Monitoreo, Seguimiento, Control y Evaluación de las Regalías que se crea en este artículo; Un porcentaje equivalente al 1% para el funcionamiento del Sistema General de Regalías; un porcentaje equivalente al 0.5% para Fiscalización de Regalías provenientes de la explotación de los yacimientos y; un porcentaje equivalente 0.5</w:t>
            </w:r>
            <w:r>
              <w:rPr>
                <w:sz w:val="16"/>
                <w:szCs w:val="16"/>
              </w:rPr>
              <w:t>%</w:t>
            </w:r>
            <w:r w:rsidRPr="00CB325D">
              <w:rPr>
                <w:sz w:val="16"/>
                <w:szCs w:val="16"/>
              </w:rPr>
              <w:t xml:space="preserve"> para los municipios ribereños del Río Magdalena y Canal del Dique. Del total de los recursos destinados a los fondos de Desarrollo Regional y Compensación Regional, se destinará </w:t>
            </w:r>
            <w:r w:rsidRPr="005C0C74">
              <w:rPr>
                <w:sz w:val="16"/>
                <w:szCs w:val="16"/>
              </w:rPr>
              <w:t>un porcentaje equivalente al 60% para el Fondo de Compensación Regional y un 40% para el Fondo de Desarrollo Regional. Del total de las asignaciones directas se destinará un porcentaje equivalente al 3% para inversión en las universidades públicas que tengan sede en los entes productores.</w:t>
            </w: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r w:rsidRPr="007F1E8A">
              <w:rPr>
                <w:sz w:val="16"/>
                <w:szCs w:val="16"/>
              </w:rPr>
              <w:t>La función de fiscalización aquí establecida será realizada por el Ministerio de Minas y Energía o por la entidad a quien este delegue.</w:t>
            </w: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r w:rsidRPr="00B451E8">
              <w:rPr>
                <w:sz w:val="16"/>
                <w:szCs w:val="16"/>
              </w:rPr>
              <w:t xml:space="preserve">Los Fondos de Ciencia, Tecnología e Innovación y de Desarrollo Regional tendrán como finalidad la financiación de proyectos regionales acordados entre las entidades territoriales y el Gobierno Nacional. </w:t>
            </w: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r w:rsidRPr="00B451E8">
              <w:rPr>
                <w:sz w:val="16"/>
                <w:szCs w:val="16"/>
              </w:rPr>
              <w:t>Los recursos del Fondo de Compensación Regional se destinarán a la financiación de proyectos de impacto regional o local de desarrollo en las entidades territoriales más pobres del país, de acuerdo con criterios de Necesidades Básicas Insatisfechas (NBI), población y desempleo, y con prioridad en las zonas costeras, fronterizas y de periferia. La duración del Fondo de Compensación Regional será de treinta (30) años, contados a partir de la entrada en vigencia de la ley a la que se refiere el inciso 2o del artículo anterior. Transcurrido este período, estos recursos se destinarán al Fondo de Desarrollo Regional.</w:t>
            </w:r>
          </w:p>
          <w:p w:rsidR="004B04E6" w:rsidRPr="00B451E8" w:rsidRDefault="004B04E6" w:rsidP="00796562">
            <w:pPr>
              <w:spacing w:before="57" w:after="57"/>
              <w:jc w:val="both"/>
              <w:rPr>
                <w:sz w:val="16"/>
                <w:szCs w:val="16"/>
              </w:rPr>
            </w:pPr>
          </w:p>
          <w:p w:rsidR="004B04E6" w:rsidRDefault="004B04E6" w:rsidP="00796562">
            <w:pPr>
              <w:spacing w:before="57" w:after="57"/>
              <w:jc w:val="both"/>
              <w:rPr>
                <w:sz w:val="16"/>
                <w:szCs w:val="16"/>
              </w:rPr>
            </w:pPr>
            <w:r w:rsidRPr="00B451E8">
              <w:rPr>
                <w:sz w:val="16"/>
                <w:szCs w:val="16"/>
              </w:rPr>
              <w:t>Los recursos del Fondo de Ahorro y Estabilización, así como sus rendimientos, serán administrados por el Banco de la República</w:t>
            </w:r>
            <w:r w:rsidRPr="00B451E8">
              <w:rPr>
                <w:strike/>
                <w:color w:val="FF0000"/>
                <w:sz w:val="16"/>
                <w:szCs w:val="16"/>
              </w:rPr>
              <w:t xml:space="preserve"> </w:t>
            </w:r>
            <w:r w:rsidRPr="00B451E8">
              <w:rPr>
                <w:sz w:val="16"/>
                <w:szCs w:val="16"/>
              </w:rPr>
              <w:t>en los términos que establezca el Gobierno Nacional. En los períodos de desahorro, la distribución de estos recursos entre los demás componentes del Sistema se regirá por los criterios que defina la ley a la que se refiere el inciso 2o del artículo anterior</w:t>
            </w:r>
            <w:r>
              <w:rPr>
                <w:sz w:val="16"/>
                <w:szCs w:val="16"/>
              </w:rPr>
              <w:t>.</w:t>
            </w: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r w:rsidRPr="00457186">
              <w:rPr>
                <w:b/>
                <w:sz w:val="16"/>
                <w:szCs w:val="16"/>
              </w:rPr>
              <w:t>PARÁGRAFO 1o.</w:t>
            </w:r>
            <w:r w:rsidRPr="00CC5F54">
              <w:rPr>
                <w:sz w:val="16"/>
                <w:szCs w:val="16"/>
              </w:rPr>
              <w:t xml:space="preserve"> Los recursos del Sistema General de Regalías no harán parte del Presupuesto General de la Nación, ni del Sistema General de Participaciones. El Sistema General de Regalías tendrá su propio sistema presupuestal que se regirá por las normas contenidas en la ley a que se refiere el inciso 2o del artículo anterior. En todo caso, el Congreso de la República expedirá bianualmente el presupuesto del Sistema General de Regalías.</w:t>
            </w:r>
          </w:p>
          <w:p w:rsidR="004B04E6" w:rsidRPr="007F1E8A" w:rsidRDefault="004B04E6" w:rsidP="00796562">
            <w:pPr>
              <w:spacing w:before="57" w:after="57"/>
              <w:jc w:val="both"/>
              <w:rPr>
                <w:sz w:val="16"/>
                <w:szCs w:val="16"/>
              </w:rPr>
            </w:pPr>
          </w:p>
          <w:p w:rsidR="004B04E6" w:rsidRDefault="004B04E6" w:rsidP="00796562">
            <w:pPr>
              <w:spacing w:before="57" w:after="57"/>
              <w:jc w:val="both"/>
              <w:rPr>
                <w:sz w:val="16"/>
                <w:szCs w:val="16"/>
              </w:rPr>
            </w:pPr>
            <w:r w:rsidRPr="00457186">
              <w:rPr>
                <w:b/>
                <w:sz w:val="16"/>
                <w:szCs w:val="16"/>
              </w:rPr>
              <w:t>PARÁGRAFO 2o</w:t>
            </w:r>
            <w:r w:rsidRPr="003F5673">
              <w:rPr>
                <w:sz w:val="16"/>
                <w:szCs w:val="16"/>
              </w:rPr>
              <w:t>. La ejecución de los recursos correspondientes a las asignaciones directas de que trata el inciso 2o del presente artículo, así como de los recursos de los Fondos de Ciencia, Tecnología e Innovación; de Desarrollo Regional, y de Compensación Regional, se hará en concordancia con el Plan Nacional de Desarrollo y los planes de desarrollo de las entidades territoriales.</w:t>
            </w: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r w:rsidRPr="00663522">
              <w:rPr>
                <w:sz w:val="16"/>
                <w:szCs w:val="16"/>
              </w:rPr>
              <w:t>Los proyectos prioritarios que se financiarán con estos recursos, salvo los de asignación directa, serán definidos por órganos colegiados de administración y decisión, de conformidad con lo establecido en la ley que regule el Sistema General de Regalías.</w:t>
            </w: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r w:rsidRPr="003F5673">
              <w:rPr>
                <w:sz w:val="16"/>
                <w:szCs w:val="16"/>
              </w:rPr>
              <w:t>Los programas y/o proyectos en ciencia tecnología e innovación de los departamentos, municipios y distritos que se financiarán con los recursos del Fondo de Ciencia, Tecnología e Innovación, se definirán por un órgano colegiado de administración y decisión, en el cual tendrán asiento el Gobierno Nacional, representado por tres (3) Ministros o sus delegados, un (1) representante del Organismo Nacional de Planeación y un (1) representante del Organismo Nacional encargado del manejo de la política pública de ciencia y tecnología e innovación, quien además ejercerá la Secretaría Técnica, un (1) Gobernador por cada una de las instancias de planeación regional a que se refiere el inciso siguiente del presente artículo; cuatro (4) representantes de las universidades públicas y dos (2) representantes de universidades privadas. Así mismo, los recursos de este Fondo de Ciencia, Tecnología e Innovación, se distribuirán en la misma proporción en que se distribuyan a los departamentos, los recursos de los Fondos de Compensación Regional y de Desarrollo Regional. En ningún caso los recursos de este fondo podrán financiar gasto corriente.</w:t>
            </w:r>
          </w:p>
          <w:p w:rsidR="004B04E6" w:rsidRPr="003F5673" w:rsidRDefault="004B04E6" w:rsidP="00796562">
            <w:pPr>
              <w:spacing w:before="57" w:after="57"/>
              <w:jc w:val="both"/>
              <w:rPr>
                <w:sz w:val="16"/>
                <w:szCs w:val="16"/>
              </w:rPr>
            </w:pPr>
          </w:p>
          <w:p w:rsidR="004B04E6" w:rsidRDefault="004B04E6" w:rsidP="00796562">
            <w:pPr>
              <w:spacing w:before="57" w:after="57"/>
              <w:jc w:val="both"/>
              <w:rPr>
                <w:sz w:val="16"/>
                <w:szCs w:val="16"/>
              </w:rPr>
            </w:pPr>
            <w:r w:rsidRPr="003F5673">
              <w:rPr>
                <w:sz w:val="16"/>
                <w:szCs w:val="16"/>
              </w:rPr>
              <w:t>Los proyectos de impacto regional de los departamentos, municipios y distritos que se financiarán con los recursos de los Fondos de Desarrollo y Compensación Regional se definirán a través de ejercicios de planeación regional por órganos colegiados de administración y decisión donde tengan asiento cuatro (4) Ministros o sus delegados y un (1) representante del Organismo Nacional de Planeación, los gobernadores respectivos o sus delegados y un número representativo de alcaldes.</w:t>
            </w:r>
          </w:p>
          <w:p w:rsidR="004B04E6" w:rsidRPr="003F5673" w:rsidRDefault="004B04E6" w:rsidP="00796562">
            <w:pPr>
              <w:spacing w:before="57" w:after="57"/>
              <w:jc w:val="both"/>
              <w:rPr>
                <w:sz w:val="16"/>
                <w:szCs w:val="16"/>
              </w:rPr>
            </w:pPr>
          </w:p>
          <w:p w:rsidR="004B04E6" w:rsidRDefault="004B04E6" w:rsidP="00796562">
            <w:pPr>
              <w:spacing w:before="57" w:after="57"/>
              <w:jc w:val="both"/>
              <w:rPr>
                <w:sz w:val="16"/>
                <w:szCs w:val="16"/>
              </w:rPr>
            </w:pPr>
            <w:r w:rsidRPr="003F5673">
              <w:rPr>
                <w:sz w:val="16"/>
                <w:szCs w:val="16"/>
              </w:rPr>
              <w:t xml:space="preserve">La ley que regule el Sistema General de Regalías, podrá crear comités de carácter consultivo para los órganos colegiados de administración y decisión con participación de la sociedad civil. </w:t>
            </w:r>
          </w:p>
          <w:p w:rsidR="004B04E6" w:rsidRPr="003F5673" w:rsidRDefault="004B04E6" w:rsidP="00796562">
            <w:pPr>
              <w:spacing w:before="57" w:after="57"/>
              <w:jc w:val="both"/>
              <w:rPr>
                <w:sz w:val="16"/>
                <w:szCs w:val="16"/>
              </w:rPr>
            </w:pPr>
          </w:p>
          <w:p w:rsidR="004B04E6" w:rsidRPr="00B83A25" w:rsidRDefault="004B04E6" w:rsidP="00796562">
            <w:pPr>
              <w:spacing w:before="57" w:after="57"/>
              <w:jc w:val="both"/>
              <w:rPr>
                <w:sz w:val="16"/>
                <w:szCs w:val="16"/>
              </w:rPr>
            </w:pPr>
            <w:r w:rsidRPr="003F5673">
              <w:rPr>
                <w:sz w:val="16"/>
                <w:szCs w:val="16"/>
              </w:rPr>
              <w:t>En todo caso, la representación de las entidades territoriales en los órganos colegiados será mayoritaria, en relación con la del Gobierno Nacional.</w:t>
            </w:r>
          </w:p>
        </w:tc>
        <w:tc>
          <w:tcPr>
            <w:tcW w:w="855" w:type="pct"/>
          </w:tcPr>
          <w:p w:rsidR="004B04E6" w:rsidRDefault="004B04E6" w:rsidP="00796562">
            <w:pPr>
              <w:spacing w:before="100" w:beforeAutospacing="1" w:after="100" w:afterAutospacing="1"/>
              <w:jc w:val="both"/>
              <w:rPr>
                <w:sz w:val="16"/>
                <w:szCs w:val="16"/>
              </w:rPr>
            </w:pPr>
            <w:r>
              <w:rPr>
                <w:sz w:val="16"/>
                <w:szCs w:val="16"/>
              </w:rPr>
              <w:t>a. Se limita la función de fiscalización exclusivamente a las regalías y no a la totalidad del contrato de explotación.</w:t>
            </w:r>
          </w:p>
          <w:p w:rsidR="004B04E6" w:rsidRDefault="004B04E6" w:rsidP="00796562">
            <w:pPr>
              <w:spacing w:before="100" w:beforeAutospacing="1" w:after="100" w:afterAutospacing="1"/>
              <w:jc w:val="both"/>
              <w:rPr>
                <w:sz w:val="16"/>
                <w:szCs w:val="16"/>
              </w:rPr>
            </w:pPr>
            <w:r>
              <w:rPr>
                <w:sz w:val="16"/>
                <w:szCs w:val="16"/>
              </w:rPr>
              <w:t>b. Se suprime la palabra exploración porque de ella no se derivan regalías.</w:t>
            </w:r>
          </w:p>
          <w:p w:rsidR="004B04E6" w:rsidRDefault="004B04E6" w:rsidP="00796562">
            <w:pPr>
              <w:spacing w:before="100" w:beforeAutospacing="1" w:after="100" w:afterAutospacing="1"/>
              <w:jc w:val="both"/>
              <w:rPr>
                <w:sz w:val="16"/>
                <w:szCs w:val="16"/>
              </w:rPr>
            </w:pPr>
            <w:r>
              <w:rPr>
                <w:sz w:val="16"/>
                <w:szCs w:val="16"/>
              </w:rPr>
              <w:t>c. Se suprime conocimiento y cartografía del subsuelo, por no tener relación directa con el SGR, además por ser esta función exclusiva del servicio geológico colombiano SGC.</w:t>
            </w:r>
          </w:p>
          <w:p w:rsidR="004B04E6" w:rsidRDefault="004B04E6" w:rsidP="00796562">
            <w:pPr>
              <w:spacing w:before="100" w:beforeAutospacing="1" w:after="100" w:afterAutospacing="1"/>
              <w:jc w:val="both"/>
              <w:rPr>
                <w:sz w:val="16"/>
                <w:szCs w:val="16"/>
              </w:rPr>
            </w:pPr>
            <w:r>
              <w:rPr>
                <w:sz w:val="16"/>
                <w:szCs w:val="16"/>
              </w:rPr>
              <w:t>d. Se adiciona el pago en especie de las regalías por parte del productor, porque el riesgo se aumenta al recibir en dinero el pago de las mismas.</w:t>
            </w: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r>
              <w:rPr>
                <w:sz w:val="16"/>
                <w:szCs w:val="16"/>
              </w:rPr>
              <w:t>a. Se adiciona a la ejecución directa de los recursos de asignación directa la función de viabilizar, aprobar y priorizar los proyectos de inversión a los entes productores. (Sin OCAD)</w:t>
            </w: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r>
              <w:rPr>
                <w:sz w:val="16"/>
                <w:szCs w:val="16"/>
              </w:rPr>
              <w:t>a. La distribución del SGR no será residual, estos se asignarán como porcentajes fijos y permanentes, lo cual facilita una eficaz planeación del sistema.</w:t>
            </w:r>
          </w:p>
          <w:p w:rsidR="004B04E6" w:rsidRDefault="004B04E6" w:rsidP="00796562">
            <w:pPr>
              <w:spacing w:before="100" w:beforeAutospacing="1" w:after="100" w:afterAutospacing="1"/>
              <w:jc w:val="both"/>
              <w:rPr>
                <w:sz w:val="16"/>
                <w:szCs w:val="16"/>
              </w:rPr>
            </w:pPr>
            <w:r>
              <w:rPr>
                <w:sz w:val="16"/>
                <w:szCs w:val="16"/>
              </w:rPr>
              <w:t>b. Se distribuye un mayor porcentaje del SGR para las asignaciones directas, por ser los entes productores los que reciben los efectos negativos de la actividad de la explotación y el aumento excesivo de la demanda de servicios públicos, que antes eran atendidos con el 60% del total de las regalías que tenían los entes productores. Luego en su orden de asignación siguen los fondos regionales, el FAE, el FONPET, Fondo de CTI, SMSCE de regalías, administración del SGR, fiscalización y municipios ribereños.</w:t>
            </w:r>
          </w:p>
          <w:p w:rsidR="004B04E6" w:rsidRDefault="004B04E6" w:rsidP="00796562">
            <w:pPr>
              <w:spacing w:before="100" w:beforeAutospacing="1" w:after="100" w:afterAutospacing="1"/>
              <w:jc w:val="both"/>
              <w:rPr>
                <w:sz w:val="16"/>
                <w:szCs w:val="16"/>
              </w:rPr>
            </w:pPr>
            <w:r>
              <w:rPr>
                <w:sz w:val="16"/>
                <w:szCs w:val="16"/>
              </w:rPr>
              <w:t>c. Universidad pública soporte del desarrollo territorial.</w:t>
            </w: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r>
              <w:rPr>
                <w:sz w:val="16"/>
                <w:szCs w:val="16"/>
              </w:rPr>
              <w:t>a. La función de fiscalización tendrá como actividad exclusiva las regalías liquidadas.</w:t>
            </w: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r>
              <w:rPr>
                <w:sz w:val="16"/>
                <w:szCs w:val="16"/>
              </w:rPr>
              <w:t>a. Se eliminan los párrafos porque la distribución del SGR no será residual, estos se asignarán como porcentajes fijos y permanentes.</w:t>
            </w: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r>
              <w:rPr>
                <w:sz w:val="16"/>
                <w:szCs w:val="16"/>
              </w:rPr>
              <w:t>a. Se eliminan los párrafos porque la distribución del SGR no será residual, estos se asignarán como porcentajes fijos y permanentes.</w:t>
            </w: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r>
              <w:rPr>
                <w:sz w:val="16"/>
                <w:szCs w:val="16"/>
              </w:rPr>
              <w:t xml:space="preserve">a. Se adiciona el texto porque los entes productores tendrán la función de viabilizar, aprobar, priorizar y ejecutar los proyectos. </w:t>
            </w: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r>
              <w:rPr>
                <w:sz w:val="16"/>
                <w:szCs w:val="16"/>
              </w:rPr>
              <w:t xml:space="preserve">b. Los entes productores no tendrán OCAD </w:t>
            </w: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Pr="00033576" w:rsidRDefault="004B04E6" w:rsidP="00796562">
            <w:pPr>
              <w:pStyle w:val="Prrafodelista"/>
              <w:spacing w:before="100" w:beforeAutospacing="1" w:after="100" w:afterAutospacing="1"/>
              <w:jc w:val="both"/>
              <w:rPr>
                <w:sz w:val="16"/>
                <w:szCs w:val="16"/>
              </w:rPr>
            </w:pPr>
          </w:p>
        </w:tc>
      </w:tr>
      <w:tr w:rsidR="004B04E6" w:rsidTr="00796562">
        <w:tc>
          <w:tcPr>
            <w:tcW w:w="1382" w:type="pct"/>
          </w:tcPr>
          <w:p w:rsidR="004B04E6" w:rsidRDefault="004B04E6" w:rsidP="00796562">
            <w:pPr>
              <w:spacing w:before="57" w:after="57"/>
              <w:jc w:val="both"/>
              <w:rPr>
                <w:sz w:val="16"/>
                <w:szCs w:val="16"/>
              </w:rPr>
            </w:pPr>
            <w:r w:rsidRPr="000D4E53">
              <w:rPr>
                <w:b/>
                <w:sz w:val="16"/>
                <w:szCs w:val="16"/>
              </w:rPr>
              <w:t>PARÁGRAFO 3o.</w:t>
            </w:r>
            <w:r w:rsidRPr="002B2F5F">
              <w:rPr>
                <w:sz w:val="16"/>
                <w:szCs w:val="16"/>
              </w:rPr>
              <w:t xml:space="preserve"> Créase el Sistema de Monitoreo, Seguimiento, Control y Evaluación de las Regalías, cuyo objeto será velar por el uso eficiente y eficaz de los recursos del Sistema General de Regalías, fortaleciendo la transparencia, la participación ciudadana y el Buen Gobierno.</w:t>
            </w:r>
          </w:p>
          <w:p w:rsidR="004B04E6" w:rsidRDefault="004B04E6" w:rsidP="00796562">
            <w:pPr>
              <w:spacing w:before="57" w:after="57"/>
              <w:jc w:val="both"/>
              <w:rPr>
                <w:sz w:val="16"/>
                <w:szCs w:val="16"/>
              </w:rPr>
            </w:pPr>
          </w:p>
          <w:p w:rsidR="004B04E6" w:rsidRPr="00E42526" w:rsidRDefault="004B04E6" w:rsidP="00796562">
            <w:pPr>
              <w:spacing w:before="57" w:after="57"/>
              <w:jc w:val="both"/>
              <w:rPr>
                <w:sz w:val="16"/>
                <w:szCs w:val="16"/>
              </w:rPr>
            </w:pPr>
            <w:r w:rsidRPr="00E42526">
              <w:rPr>
                <w:sz w:val="16"/>
                <w:szCs w:val="16"/>
              </w:rPr>
              <w:t xml:space="preserve">La ley a la que se refiere el inciso 2o del artículo anterior, definirá su funcionamiento y el procedimiento para la imposición de medidas preventivas, correctivas y sancionatorias por el inadecuado uso de los recursos del Sistema General de Regalías. Dentro de estas medidas podrán aplicarse a los Departamentos, Municipios y/o Distritos y demás ejecutores la suspensión de giros, cancelación de proyectos y/o el reintegro de recursos. </w:t>
            </w: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r w:rsidRPr="002B2F5F">
              <w:rPr>
                <w:sz w:val="16"/>
                <w:szCs w:val="16"/>
              </w:rPr>
              <w:t>La ley a la que se refiere el inciso 2o del artículo anterior, definirá su funcionamiento y el procedimiento para la imposición de medidas preventivas, correctivas y sancionatorias por el inadecuado uso de los recursos del Sistema General de Regalías. Dentro de estas medidas podrán aplicarse a los Departamentos, Municipios y/o Distritos y demás ejecutores la suspensión de giros, cancelación de proyectos y/o el reintegro de recursos.</w:t>
            </w: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r w:rsidRPr="000D4E53">
              <w:rPr>
                <w:b/>
                <w:sz w:val="16"/>
                <w:szCs w:val="16"/>
              </w:rPr>
              <w:t>PARÁGRAFO 4o.</w:t>
            </w:r>
            <w:r w:rsidRPr="00E83F78">
              <w:rPr>
                <w:sz w:val="16"/>
                <w:szCs w:val="16"/>
              </w:rPr>
              <w:t> &lt;Parágrafo adicionado por el artículo </w:t>
            </w:r>
            <w:hyperlink r:id="rId16" w:anchor="1" w:history="1">
              <w:r w:rsidRPr="00E42526">
                <w:rPr>
                  <w:sz w:val="16"/>
                  <w:szCs w:val="16"/>
                </w:rPr>
                <w:t>1</w:t>
              </w:r>
            </w:hyperlink>
            <w:r w:rsidRPr="00E83F78">
              <w:rPr>
                <w:sz w:val="16"/>
                <w:szCs w:val="16"/>
              </w:rPr>
              <w:t> del Acto Legislativo 4 de 2017. El nuevo texto es el siguiente:&gt; Cuando una entidad territorial que recibe recursos del Sistema General de Regalías para el ahorro pensional territorial cubra sus pasivos pensionales, destinará los recursos provenientes de esta fuente a la financiación de proyectos de inversión. Durante los veinte (20) años siguientes a la entrada en vigencia del presente acto legislativo, estos proyectos deberán tener como objeto la implementación del Acuerdo Final para la Terminación del Conflicto y la Construcción de una Paz Estable y Duradera, incluyendo la financiación de proyectos destinados a la</w:t>
            </w:r>
          </w:p>
          <w:p w:rsidR="004B04E6" w:rsidRDefault="004B04E6" w:rsidP="00796562">
            <w:pPr>
              <w:spacing w:before="57" w:after="57"/>
              <w:jc w:val="both"/>
              <w:rPr>
                <w:sz w:val="16"/>
                <w:szCs w:val="16"/>
              </w:rPr>
            </w:pPr>
            <w:r w:rsidRPr="00E83F78">
              <w:rPr>
                <w:sz w:val="16"/>
                <w:szCs w:val="16"/>
              </w:rPr>
              <w:t xml:space="preserve"> reparación integral de víctimas. Estos proyectos deberán ser definidos, por el Órgano Colegiado de Administración y Decisión de que trata el parágrafo 7 transitorio del artículo </w:t>
            </w:r>
            <w:hyperlink r:id="rId17" w:anchor="2" w:history="1">
              <w:r w:rsidRPr="00E42526">
                <w:rPr>
                  <w:sz w:val="16"/>
                  <w:szCs w:val="16"/>
                </w:rPr>
                <w:t>2o</w:t>
              </w:r>
            </w:hyperlink>
            <w:r w:rsidRPr="00E83F78">
              <w:rPr>
                <w:sz w:val="16"/>
                <w:szCs w:val="16"/>
              </w:rPr>
              <w:t> del presente acto legislativo; con posterioridad a los veinte (20) años, dichos proyectos deberán ser definidos por los Órganos Colegiados de Administración y Decisión Municipales y Departamentales que trata el parágrafo 2 del presente artículo.</w:t>
            </w:r>
          </w:p>
          <w:p w:rsidR="004B04E6" w:rsidRPr="00E83F78" w:rsidRDefault="004B04E6" w:rsidP="00796562">
            <w:pPr>
              <w:spacing w:before="57" w:after="57"/>
              <w:jc w:val="both"/>
              <w:rPr>
                <w:sz w:val="16"/>
                <w:szCs w:val="16"/>
              </w:rPr>
            </w:pPr>
          </w:p>
          <w:p w:rsidR="004B04E6" w:rsidRDefault="004B04E6" w:rsidP="00796562">
            <w:pPr>
              <w:spacing w:before="57" w:after="57"/>
              <w:jc w:val="both"/>
              <w:rPr>
                <w:sz w:val="16"/>
                <w:szCs w:val="16"/>
              </w:rPr>
            </w:pPr>
            <w:r w:rsidRPr="00E83F78">
              <w:rPr>
                <w:sz w:val="16"/>
                <w:szCs w:val="16"/>
              </w:rPr>
              <w:t>Las entidades territoriales que a la fecha de entrada en vigencia del presente Acto Legislativo cuenten con recursos de ahorro pensional provenientes del Sistema General de Regalías, que sobrepasen el cubrimiento requerido de sus pasivos pensionales, los destinarán igualmente a la financiación de proyectos de inversión en los términos señalados en el inciso anterior.</w:t>
            </w:r>
          </w:p>
          <w:p w:rsidR="004B04E6" w:rsidRPr="00E83F78" w:rsidRDefault="004B04E6" w:rsidP="00796562">
            <w:pPr>
              <w:spacing w:before="57" w:after="57"/>
              <w:jc w:val="both"/>
              <w:rPr>
                <w:sz w:val="16"/>
                <w:szCs w:val="16"/>
              </w:rPr>
            </w:pPr>
          </w:p>
          <w:p w:rsidR="004B04E6" w:rsidRDefault="004B04E6" w:rsidP="00796562">
            <w:pPr>
              <w:spacing w:before="57" w:after="57"/>
              <w:jc w:val="both"/>
              <w:rPr>
                <w:sz w:val="16"/>
                <w:szCs w:val="16"/>
              </w:rPr>
            </w:pPr>
            <w:r w:rsidRPr="00E83F78">
              <w:rPr>
                <w:sz w:val="16"/>
                <w:szCs w:val="16"/>
              </w:rPr>
              <w:t>El Gobierno nacional, mediante decreto con fuerza de ley, que expedirá dentro de los seis (6) meses siguientes a la entrada en vigencia del presente acto legislativo, reglamentará la materia.</w:t>
            </w:r>
          </w:p>
          <w:p w:rsidR="004B04E6" w:rsidRPr="00E83F78" w:rsidRDefault="004B04E6" w:rsidP="00796562">
            <w:pPr>
              <w:spacing w:before="57" w:after="57"/>
              <w:jc w:val="both"/>
              <w:rPr>
                <w:sz w:val="16"/>
                <w:szCs w:val="16"/>
              </w:rPr>
            </w:pPr>
          </w:p>
          <w:p w:rsidR="004B04E6" w:rsidRDefault="004B04E6" w:rsidP="00796562">
            <w:pPr>
              <w:spacing w:before="57" w:after="57"/>
              <w:jc w:val="both"/>
              <w:rPr>
                <w:sz w:val="16"/>
                <w:szCs w:val="16"/>
              </w:rPr>
            </w:pPr>
            <w:r w:rsidRPr="00E83F78">
              <w:rPr>
                <w:sz w:val="16"/>
                <w:szCs w:val="16"/>
              </w:rPr>
              <w:t>Para las entidades territoriales con una baja o nula incidencia del conflicto armado, los proyectos deberán ser aprobados por los Órganos Colegiados de Administración y decisión municipales y departamentales que trata el parágrafo 2 del presente artículo, y serán destinados prioritariamente para la reparación integral a las víctimas o para el cierre de brechas.</w:t>
            </w: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r w:rsidRPr="000D4E53">
              <w:rPr>
                <w:b/>
                <w:sz w:val="16"/>
                <w:szCs w:val="16"/>
              </w:rPr>
              <w:t>PARÁGRAFO 5o.</w:t>
            </w:r>
            <w:r w:rsidRPr="005C0138">
              <w:rPr>
                <w:sz w:val="16"/>
                <w:szCs w:val="16"/>
              </w:rPr>
              <w:t> &lt;Parágrafo adicionado por el artículo </w:t>
            </w:r>
            <w:hyperlink r:id="rId18" w:anchor="1" w:history="1">
              <w:r w:rsidRPr="000D4E53">
                <w:t>1</w:t>
              </w:r>
            </w:hyperlink>
            <w:r w:rsidRPr="005C0138">
              <w:rPr>
                <w:sz w:val="16"/>
                <w:szCs w:val="16"/>
              </w:rPr>
              <w:t> del Acto Legislativo 4 de 2017. El nuevo texto es el siguiente:&gt; Los programas o proyectos de inversión que se financiarán con los recursos del Fondo de Ciencia, Tecnología e Innovación, serán definidos por el respectivo Órgano Colegiado de Administración y Decisión, a través de convocatorias públicas abiertas y competitivas, articuladas con los correspondientes planes de desarrollo. Para la presentación y ejecución de los proyectos la entidad deberá ser parte del Sistema Nacional de Ciencia, Tecnología e Innovación. Los programas o proyectos aprobados serán ejecutados por las entidades que los presentaron en la convocatoria.</w:t>
            </w:r>
          </w:p>
          <w:p w:rsidR="004B04E6" w:rsidRPr="005C0138" w:rsidRDefault="004B04E6" w:rsidP="00796562">
            <w:pPr>
              <w:spacing w:before="57" w:after="57"/>
              <w:jc w:val="both"/>
              <w:rPr>
                <w:sz w:val="16"/>
                <w:szCs w:val="16"/>
              </w:rPr>
            </w:pPr>
          </w:p>
          <w:p w:rsidR="004B04E6" w:rsidRDefault="004B04E6" w:rsidP="00796562">
            <w:pPr>
              <w:spacing w:before="57" w:after="57"/>
              <w:jc w:val="both"/>
              <w:rPr>
                <w:sz w:val="16"/>
                <w:szCs w:val="16"/>
              </w:rPr>
            </w:pPr>
            <w:r w:rsidRPr="005C0138">
              <w:rPr>
                <w:sz w:val="16"/>
                <w:szCs w:val="16"/>
              </w:rPr>
              <w:t>Lo establecido en el presente parágrafo regirá desde la entrada en vigencia de la ley que lo reglamente.</w:t>
            </w: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Pr="005C0138" w:rsidRDefault="004B04E6" w:rsidP="00796562">
            <w:pPr>
              <w:spacing w:before="57" w:after="57"/>
              <w:jc w:val="both"/>
              <w:rPr>
                <w:sz w:val="16"/>
                <w:szCs w:val="16"/>
              </w:rPr>
            </w:pPr>
            <w:r w:rsidRPr="000D4E53">
              <w:rPr>
                <w:b/>
                <w:sz w:val="16"/>
                <w:szCs w:val="16"/>
              </w:rPr>
              <w:t>PARÁGRAFO 1o. TRANSITORIO.</w:t>
            </w:r>
            <w:r w:rsidRPr="005C0138">
              <w:rPr>
                <w:sz w:val="16"/>
                <w:szCs w:val="16"/>
              </w:rPr>
              <w:t> Suprímase el Fondo Nacional de Regalías a partir de la fecha que determine la ley a la que se refiere el inciso 2o del artículo anterior. El Gobierno Nacional designará al liquidador y definirá el procedimiento y el plazo para la liquidación. Los recursos no comprometidos que posea el Fondo Nacional de Regalías a la entrada en vigencia del presente Acto Legislativo, se destinarán prioritariamente a la reconstrucción de la infraestructura vial del país y a la recuperación ambiental de las zonas afectadas por la emergencia invernal de 2010-2011.</w:t>
            </w:r>
          </w:p>
          <w:p w:rsidR="004B04E6" w:rsidRDefault="004B04E6" w:rsidP="00796562">
            <w:pPr>
              <w:spacing w:before="57" w:after="57"/>
              <w:jc w:val="both"/>
              <w:rPr>
                <w:sz w:val="16"/>
                <w:szCs w:val="16"/>
              </w:rPr>
            </w:pPr>
            <w:r w:rsidRPr="000D4E53">
              <w:rPr>
                <w:b/>
                <w:sz w:val="16"/>
                <w:szCs w:val="16"/>
              </w:rPr>
              <w:t>PARÁGRAFO 2o. TRANSITORIO.</w:t>
            </w:r>
            <w:r w:rsidRPr="000D4E53">
              <w:rPr>
                <w:sz w:val="16"/>
                <w:szCs w:val="16"/>
              </w:rPr>
              <w:t xml:space="preserve"> Respecto de los recursos que se destinarán a las asignaciones directas de que trata el inciso 2o del presente artículo y a los Fondos de Compensación Regional, y de Desarrollo Regional, su distribución durante los tres primeros años será así: durante el primer año corresponderá a un porcentaje equivalente al 50% para las asignaciones directas de que trata el inciso 2o del presente artículo y un 50% para los fondos enunciados en este parágrafo; de la misma forma, durante el segundo año se destinará un porcentaje equivalente al 35% y al 65% respectivamente; y durante el tercer año se destinará un porcentaje equivalente al 25% y el 75%, respectivamente. </w:t>
            </w:r>
            <w:r w:rsidRPr="000D4E53">
              <w:rPr>
                <w:sz w:val="16"/>
                <w:szCs w:val="16"/>
              </w:rPr>
              <w:br/>
            </w:r>
            <w:r w:rsidRPr="000D4E53">
              <w:rPr>
                <w:sz w:val="16"/>
                <w:szCs w:val="16"/>
              </w:rPr>
              <w:br/>
              <w:t>En el evento en que durante el período comprendido entre los años 2012 y 2014, las asignaciones directas de que trata el inciso 2o del presente artículo, sean inferiores al 50% del promedio anual, en pesos constantes de 2010, de las asignaciones directas causadas menos descuentos de ley entre los años 2007 y 2010; y durante el período comprendido entre los años 2015 y 2020, sean inferiores al 40% del promedio anual, en pesos constantes de 2010, de las asignaciones</w:t>
            </w:r>
          </w:p>
          <w:p w:rsidR="004B04E6" w:rsidRDefault="004B04E6" w:rsidP="00796562">
            <w:pPr>
              <w:spacing w:before="57" w:after="57"/>
              <w:jc w:val="both"/>
              <w:rPr>
                <w:sz w:val="16"/>
                <w:szCs w:val="16"/>
              </w:rPr>
            </w:pPr>
            <w:r w:rsidRPr="000D4E53">
              <w:rPr>
                <w:sz w:val="16"/>
                <w:szCs w:val="16"/>
              </w:rPr>
              <w:t xml:space="preserve"> directas causados menos descuentos de ley entre los años 2007 y 2010; el departamento, municipio o distrito, podrá utilizar los recursos de la asignación del departamento respectivo en el Fondo de Desarrollo Regional, hasta alcanzar dicho porcentaje o hasta agotar los recursos del departamento en el mencionado Fondo, lo que ocurra primero.</w:t>
            </w:r>
          </w:p>
          <w:p w:rsidR="004B04E6" w:rsidRDefault="004B04E6" w:rsidP="00796562">
            <w:pPr>
              <w:spacing w:before="57" w:after="57"/>
              <w:jc w:val="both"/>
              <w:rPr>
                <w:sz w:val="16"/>
                <w:szCs w:val="16"/>
              </w:rPr>
            </w:pPr>
            <w:r w:rsidRPr="000D4E53">
              <w:rPr>
                <w:sz w:val="16"/>
                <w:szCs w:val="16"/>
              </w:rPr>
              <w:t> </w:t>
            </w:r>
            <w:r w:rsidRPr="000D4E53">
              <w:rPr>
                <w:sz w:val="16"/>
                <w:szCs w:val="16"/>
              </w:rPr>
              <w:br/>
            </w:r>
            <w:r w:rsidRPr="000D4E53">
              <w:rPr>
                <w:sz w:val="16"/>
                <w:szCs w:val="16"/>
              </w:rPr>
              <w:br/>
            </w:r>
            <w:r w:rsidRPr="006A64BA">
              <w:rPr>
                <w:b/>
                <w:sz w:val="16"/>
                <w:szCs w:val="16"/>
              </w:rPr>
              <w:t>PARÁGRAFO 3o. TRANSITORIO.</w:t>
            </w:r>
            <w:r w:rsidRPr="000D4E53">
              <w:rPr>
                <w:sz w:val="16"/>
                <w:szCs w:val="16"/>
              </w:rPr>
              <w:t xml:space="preserve"> En el primer año de operación del Sistema General de Regalías, se destinará un veinticinco por ciento (25%) de sus recursos al Fondo de Ahorro y Estabilización. </w:t>
            </w:r>
            <w:r w:rsidRPr="000D4E53">
              <w:rPr>
                <w:sz w:val="16"/>
                <w:szCs w:val="16"/>
              </w:rPr>
              <w:br/>
            </w:r>
            <w:r w:rsidRPr="000D4E53">
              <w:rPr>
                <w:sz w:val="16"/>
                <w:szCs w:val="16"/>
              </w:rPr>
              <w:br/>
              <w:t>Durante el período 2012-2014, una quinta parte de los recursos anuales del Fondo de Ahorro y Estabilización se destinará a las asignaciones directas de que trata el inciso 2o del presente artículo. </w:t>
            </w: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r w:rsidRPr="000D4E53">
              <w:rPr>
                <w:sz w:val="16"/>
                <w:szCs w:val="16"/>
              </w:rPr>
              <w:br/>
            </w:r>
            <w:r w:rsidRPr="000D4E53">
              <w:rPr>
                <w:sz w:val="16"/>
                <w:szCs w:val="16"/>
              </w:rPr>
              <w:br/>
            </w:r>
            <w:r w:rsidRPr="006A64BA">
              <w:rPr>
                <w:b/>
                <w:sz w:val="16"/>
                <w:szCs w:val="16"/>
              </w:rPr>
              <w:t>PARÁGRAFO 4o. TRANSITORIO.</w:t>
            </w:r>
            <w:r w:rsidRPr="000D4E53">
              <w:rPr>
                <w:sz w:val="16"/>
                <w:szCs w:val="16"/>
              </w:rPr>
              <w:t xml:space="preserve"> El Gobierno Nacional contará con un término de tres (3) meses contados a partir de la fecha de promulgación del presente acto legislativo, para radicar ante el Congreso de la República el proyecto de ley a la que se refiere el inciso 2o del artículo anterior, que ajuste el régimen de regalías al nuevo marco constitucional. </w:t>
            </w:r>
            <w:r w:rsidRPr="000D4E53">
              <w:rPr>
                <w:sz w:val="16"/>
                <w:szCs w:val="16"/>
              </w:rPr>
              <w:br/>
            </w:r>
            <w:r w:rsidRPr="000D4E53">
              <w:rPr>
                <w:sz w:val="16"/>
                <w:szCs w:val="16"/>
              </w:rPr>
              <w:br/>
              <w:t>Una vez radicado el proyecto de ley a que se refiere el inciso anterior, el Congreso de la República contará con un término que no podrá exceder de nueve (9) meses para su aprobación. Si vencido este término no se ha expedido la ley por parte del Congreso, se faculta por un (1) mes al Presidente de la República para expedir decretos con fuerza de ley para regular la materia. </w:t>
            </w:r>
            <w:r w:rsidRPr="000D4E53">
              <w:rPr>
                <w:sz w:val="16"/>
                <w:szCs w:val="16"/>
              </w:rPr>
              <w:br/>
            </w:r>
            <w:r w:rsidRPr="000D4E53">
              <w:rPr>
                <w:sz w:val="16"/>
                <w:szCs w:val="16"/>
              </w:rPr>
              <w:br/>
            </w:r>
            <w:r w:rsidRPr="006A64BA">
              <w:rPr>
                <w:b/>
                <w:sz w:val="16"/>
                <w:szCs w:val="16"/>
              </w:rPr>
              <w:t>PARÁGRAFO 5o. TRANSITORIO.</w:t>
            </w:r>
            <w:r w:rsidRPr="000D4E53">
              <w:rPr>
                <w:sz w:val="16"/>
                <w:szCs w:val="16"/>
              </w:rPr>
              <w:t xml:space="preserve"> El Sistema General de regalías regirá a partir de 1o de enero de 2012. Si para esta fecha no ha entrado en vigencia la ley de que trata el inciso 2o del artículo anterior, el Gobierno Nacional garantizará la operación del Sistema mediante decretos transitorios con fuerza de ley, que expedirá a más tardar el 31 de diciembre de 2011. </w:t>
            </w:r>
            <w:r w:rsidRPr="000D4E53">
              <w:rPr>
                <w:sz w:val="16"/>
                <w:szCs w:val="16"/>
              </w:rPr>
              <w:br/>
            </w:r>
            <w:r w:rsidRPr="000D4E53">
              <w:rPr>
                <w:sz w:val="16"/>
                <w:szCs w:val="16"/>
              </w:rPr>
              <w:br/>
            </w:r>
            <w:r w:rsidRPr="006A64BA">
              <w:rPr>
                <w:b/>
                <w:sz w:val="16"/>
                <w:szCs w:val="16"/>
              </w:rPr>
              <w:t>PARÁGRAFO 6o. TRANSITORIO.</w:t>
            </w:r>
            <w:r w:rsidRPr="000D4E53">
              <w:rPr>
                <w:sz w:val="16"/>
                <w:szCs w:val="16"/>
              </w:rPr>
              <w:t xml:space="preserve"> Para asegurar la ejecución de los recursos en la vigencia 2012, el Gobierno Nacional expedirá el presupuesto del Sistema General de Regalías para la citada vigencia fiscal, mediante un decreto con fuerza de ley.</w:t>
            </w: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r w:rsidRPr="0086552B">
              <w:rPr>
                <w:b/>
                <w:sz w:val="16"/>
                <w:szCs w:val="16"/>
              </w:rPr>
              <w:t>PARÁGRAFO 7o  TRANSITORIO.</w:t>
            </w:r>
            <w:r w:rsidRPr="006A64BA">
              <w:rPr>
                <w:sz w:val="16"/>
                <w:szCs w:val="16"/>
              </w:rPr>
              <w:t xml:space="preserve"> &lt;Parágrafo adicionado por el artículo 2 del Acto Legislativo 4 de 2017. El nuevo texto es el siguiente:&gt; Durante los veinte (20) años siguientes a la entrada en vigencia del presente acto legislativo, un 7% de los ingresos del Sistema General de Regalías se destinarán a una asignación para la Paz que tendrá como objeto financiar proyectos de inversión para la implementación del Acuerdo Final para la Terminación del Conflicto y la Construcción de una Paz Estable y Duradera, incluyendo la financiación de proyectos destinados a la reparación de víctimas.</w:t>
            </w: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Pr="006A64BA" w:rsidRDefault="004B04E6" w:rsidP="00796562">
            <w:pPr>
              <w:spacing w:before="57" w:after="57"/>
              <w:jc w:val="both"/>
              <w:rPr>
                <w:sz w:val="16"/>
                <w:szCs w:val="16"/>
              </w:rPr>
            </w:pPr>
            <w:r w:rsidRPr="006A64BA">
              <w:rPr>
                <w:sz w:val="16"/>
                <w:szCs w:val="16"/>
              </w:rPr>
              <w:t>Igual destinación tendrá el 70% de los ingresos que por rendimientos financieros genere el Sistema General de Regalías en estos años, con excepción de los generados por las asignaciones directas de que trata el inciso segundo del presente artículo. El 30% restante se destinará para incentivar la producción de municipios, en cuyos territorios se exploten los recursos naturales no renovables y a los municipios y distritos con puertos marítimos y fluviales por donde se transporten dichos recursos o derivados de los mismos.</w:t>
            </w:r>
          </w:p>
          <w:p w:rsidR="004B04E6" w:rsidRDefault="004B04E6" w:rsidP="00796562">
            <w:pPr>
              <w:spacing w:before="57" w:after="57"/>
              <w:jc w:val="both"/>
              <w:rPr>
                <w:sz w:val="16"/>
                <w:szCs w:val="16"/>
              </w:rPr>
            </w:pPr>
          </w:p>
          <w:p w:rsidR="004B04E6" w:rsidRPr="006A64BA" w:rsidRDefault="004B04E6" w:rsidP="00796562">
            <w:pPr>
              <w:spacing w:before="57" w:after="57"/>
              <w:jc w:val="both"/>
              <w:rPr>
                <w:sz w:val="16"/>
                <w:szCs w:val="16"/>
              </w:rPr>
            </w:pPr>
          </w:p>
          <w:p w:rsidR="004B04E6" w:rsidRPr="0086552B" w:rsidRDefault="004B04E6" w:rsidP="00796562">
            <w:pPr>
              <w:spacing w:before="57" w:after="57"/>
              <w:jc w:val="both"/>
              <w:rPr>
                <w:sz w:val="16"/>
                <w:szCs w:val="16"/>
              </w:rPr>
            </w:pPr>
            <w:r w:rsidRPr="0086552B">
              <w:rPr>
                <w:sz w:val="16"/>
                <w:szCs w:val="16"/>
              </w:rPr>
              <w:t xml:space="preserve">Durante este período, la asignación para ahorro pensional territorial será del 7% de los ingresos del Sistema General de Regalías. La diferencia entre el total de los ingresos del Sistema General de Regalías y los recursos destinados al ahorro pensional territorial, al Fondo de Ciencia, Tecnología e Innovación, al Fondo de Desarrollo Regional, al Fondo de Compensación Regional, a las asignaciones directas a las que se refiere el inciso segundo del presente artículo y a la Asignación para la Paz a la que se refiere el inciso 1 del presente parágrafo, se destinará al Fondo de Ahorro y Estabilización. </w:t>
            </w: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r w:rsidRPr="006A64BA">
              <w:rPr>
                <w:sz w:val="16"/>
                <w:szCs w:val="16"/>
              </w:rPr>
              <w:t>Los recursos a los que se refieren los incisos 1 y 2 de este parágrafo, se distribuirán priorizando las entidades territoriales más afectadas por la pobreza rural, las economías ilegales, la debilidad institucional, el conflicto armado y los municipios en cuyo territorio se adelanten explotaciones de recursos naturales no renovables y se orientarán a cerrar las brechas sociales, económicas e institucionales en dichas entidades territoriales.</w:t>
            </w:r>
          </w:p>
          <w:p w:rsidR="004B04E6" w:rsidRPr="006A64BA" w:rsidRDefault="004B04E6" w:rsidP="00796562">
            <w:pPr>
              <w:spacing w:before="57" w:after="57"/>
              <w:jc w:val="both"/>
              <w:rPr>
                <w:sz w:val="16"/>
                <w:szCs w:val="16"/>
              </w:rPr>
            </w:pPr>
          </w:p>
          <w:p w:rsidR="004B04E6" w:rsidRPr="006A64BA" w:rsidRDefault="004B04E6" w:rsidP="00796562">
            <w:pPr>
              <w:spacing w:before="57" w:after="57"/>
              <w:jc w:val="both"/>
              <w:rPr>
                <w:sz w:val="16"/>
                <w:szCs w:val="16"/>
              </w:rPr>
            </w:pPr>
            <w:r w:rsidRPr="006A64BA">
              <w:rPr>
                <w:sz w:val="16"/>
                <w:szCs w:val="16"/>
              </w:rPr>
              <w:t>Los proyectos de inversión a ser financiados con los recursos a los que se refieren los incisos 1 y 2 de este parágrafo, serán definidos por un Órgano Colegiado de Administración y Decisión, en el cual tendrán asiento el Gobierno nacional, representado por el Ministro de Hacienda y Crédito Público o su delegado, un (1) representante del organismo nacional de planeación, y un (1) representante del Presidente de la República; el Gobierno departamental representado por dos (2) Gobernadores y el Gobierno municipal, representado por dos (2) alcaldes.</w:t>
            </w:r>
          </w:p>
          <w:p w:rsidR="004B04E6" w:rsidRPr="006A64BA" w:rsidRDefault="004B04E6" w:rsidP="00796562">
            <w:pPr>
              <w:spacing w:before="57" w:after="57"/>
              <w:jc w:val="both"/>
              <w:rPr>
                <w:sz w:val="16"/>
                <w:szCs w:val="16"/>
              </w:rPr>
            </w:pPr>
            <w:r w:rsidRPr="006A64BA">
              <w:rPr>
                <w:sz w:val="16"/>
                <w:szCs w:val="16"/>
              </w:rPr>
              <w:t>Asistirán a este Órgano Colegiado de Administración y Decisión, en calidad de invitados permanentes con voz y sin voto, dos Senadores y dos Representantes a la Cámara.</w:t>
            </w: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Pr="006D5D88" w:rsidRDefault="004B04E6" w:rsidP="00796562">
            <w:pPr>
              <w:spacing w:before="57" w:after="57"/>
              <w:jc w:val="both"/>
              <w:rPr>
                <w:sz w:val="16"/>
                <w:szCs w:val="16"/>
              </w:rPr>
            </w:pPr>
            <w:r w:rsidRPr="006D5D88">
              <w:rPr>
                <w:sz w:val="16"/>
                <w:szCs w:val="16"/>
              </w:rPr>
              <w:t xml:space="preserve">Para cumplir con lo dispuesto en el presente parágrafo transitorio, el Gobierno nacional, dentro de los seis (6) meses siguientes a la entrada en vigencia del presente acto legislativo, expedirá los decretos con fuerza de ley necesarios para ajustar el presupuesto del bienio 2017-2018 y para adoptar las medidas requeridas para el funcionamiento de este Órgano Colegiado de Administración y Decisión, y de la Asignación para la Paz. </w:t>
            </w:r>
          </w:p>
          <w:p w:rsidR="004B04E6" w:rsidRPr="0086552B" w:rsidRDefault="004B04E6" w:rsidP="00796562">
            <w:pPr>
              <w:spacing w:before="57" w:after="57"/>
              <w:jc w:val="both"/>
              <w:rPr>
                <w:strike/>
                <w:color w:val="FF0000"/>
                <w:sz w:val="16"/>
                <w:szCs w:val="16"/>
              </w:rPr>
            </w:pPr>
          </w:p>
          <w:p w:rsidR="004B04E6" w:rsidRPr="006D5D88" w:rsidRDefault="004B04E6" w:rsidP="00796562">
            <w:pPr>
              <w:spacing w:before="57" w:after="57"/>
              <w:jc w:val="both"/>
              <w:rPr>
                <w:sz w:val="16"/>
                <w:szCs w:val="16"/>
              </w:rPr>
            </w:pPr>
            <w:r w:rsidRPr="00B1684B">
              <w:rPr>
                <w:b/>
                <w:sz w:val="16"/>
                <w:szCs w:val="16"/>
              </w:rPr>
              <w:t>PARÁGRAFO 8o. TRANSITORIO</w:t>
            </w:r>
            <w:r w:rsidRPr="006D5D88">
              <w:rPr>
                <w:sz w:val="16"/>
                <w:szCs w:val="16"/>
              </w:rPr>
              <w:t>. &lt;Parágrafo adicionado por el artículo 2 del Acto Legislativo 4 de 2017. El nuevo texto es el siguiente:&gt; Con el propósito de financiar la infraestructura de transporte requerida para la implementación del Acuerdo Final para la Terminación del Conflicto y la Construcción de una Paz Estable y Duradera, el Gobierno nacional trasladará el 60% de los saldos no aprobados en el Fondo de Ciencia, Tecnología e Innovación a 31 de diciembre de 2016. El 50% de los recursos objeto del traslado será destinado a la Asignación para la Paz, para ser definidos por el Órgano Colegiado de Administración y Decisión de que trata el parágrafo 7o transitorio del presente artículo y el 50% restante al Fondo de Desarrollo Regional.</w:t>
            </w:r>
          </w:p>
          <w:p w:rsidR="004B04E6" w:rsidRPr="006D5D88" w:rsidRDefault="004B04E6" w:rsidP="00796562">
            <w:pPr>
              <w:spacing w:before="57" w:after="57"/>
              <w:jc w:val="both"/>
              <w:rPr>
                <w:sz w:val="16"/>
                <w:szCs w:val="16"/>
              </w:rPr>
            </w:pPr>
          </w:p>
          <w:p w:rsidR="004B04E6" w:rsidRPr="006D5D88" w:rsidRDefault="004B04E6" w:rsidP="00796562">
            <w:pPr>
              <w:spacing w:before="57" w:after="57"/>
              <w:jc w:val="both"/>
              <w:rPr>
                <w:sz w:val="16"/>
                <w:szCs w:val="16"/>
              </w:rPr>
            </w:pPr>
            <w:r w:rsidRPr="006D5D88">
              <w:rPr>
                <w:sz w:val="16"/>
                <w:szCs w:val="16"/>
              </w:rPr>
              <w:t>El gobierno departamental podrá establecer que el porcentaje de recursos a trasladar sea superior al 60%, en cuyo caso deberá informar al Gobierno nacional dentro de los cinco días siguientes a la entrada en vigencia del presente Acto Legislativo.</w:t>
            </w:r>
          </w:p>
          <w:p w:rsidR="004B04E6" w:rsidRPr="006D5D88" w:rsidRDefault="004B04E6" w:rsidP="00796562">
            <w:pPr>
              <w:spacing w:before="57" w:after="57"/>
              <w:jc w:val="both"/>
              <w:rPr>
                <w:sz w:val="16"/>
                <w:szCs w:val="16"/>
              </w:rPr>
            </w:pPr>
          </w:p>
          <w:p w:rsidR="004B04E6" w:rsidRPr="006D5D88" w:rsidRDefault="004B04E6" w:rsidP="00796562">
            <w:pPr>
              <w:spacing w:before="57" w:after="57"/>
              <w:jc w:val="both"/>
              <w:rPr>
                <w:sz w:val="16"/>
                <w:szCs w:val="16"/>
              </w:rPr>
            </w:pPr>
            <w:r w:rsidRPr="006D5D88">
              <w:rPr>
                <w:sz w:val="16"/>
                <w:szCs w:val="16"/>
              </w:rPr>
              <w:t xml:space="preserve">El Gobierno nacional realizará los ajustes presupuestales a los que haya lugar mediante un decreto con fuerza de ley. Los recursos trasladados serán apropiados al mismo departamento beneficiario de los saldos y se distribuirán en partes iguales a la Asignación para la Paz y al Fondo de Desarrollo Regional. </w:t>
            </w: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r w:rsidRPr="00B1684B">
              <w:rPr>
                <w:b/>
                <w:sz w:val="16"/>
                <w:szCs w:val="16"/>
              </w:rPr>
              <w:t>PARÁGRAFO 9o. TRANSITORIO.</w:t>
            </w:r>
            <w:r w:rsidRPr="006D5D88">
              <w:rPr>
                <w:sz w:val="16"/>
                <w:szCs w:val="16"/>
              </w:rPr>
              <w:t xml:space="preserve"> Los proyectos de inversión a financiarse con los recursos del Sistema General de Regalías destinados a la implementación del Acuerdo Final para la Terminación del Conflicto y la Construcción de una Paz Estable y Duradera, deberán guardar concordancia con el régimen de planeación vigente, el componente específico para la Paz y la implementación del Plan Plurianual de Inversiones del Plan Nacional de Desarrollo y de los planes de desarrollo de las entidades territoriales. </w:t>
            </w:r>
          </w:p>
          <w:p w:rsidR="004B04E6" w:rsidRPr="006D5D88" w:rsidRDefault="004B04E6" w:rsidP="00796562">
            <w:pPr>
              <w:spacing w:before="57" w:after="57"/>
              <w:jc w:val="both"/>
              <w:rPr>
                <w:sz w:val="16"/>
                <w:szCs w:val="16"/>
              </w:rPr>
            </w:pPr>
          </w:p>
          <w:p w:rsidR="004B04E6" w:rsidRPr="000D4E53" w:rsidRDefault="004B04E6" w:rsidP="00796562">
            <w:pPr>
              <w:spacing w:before="57" w:after="57"/>
              <w:jc w:val="both"/>
              <w:rPr>
                <w:sz w:val="16"/>
                <w:szCs w:val="16"/>
              </w:rPr>
            </w:pPr>
            <w:r w:rsidRPr="00B1684B">
              <w:rPr>
                <w:b/>
                <w:sz w:val="16"/>
                <w:szCs w:val="16"/>
              </w:rPr>
              <w:t>PARÁGRAFO 10 TRANSITORIO</w:t>
            </w:r>
            <w:r w:rsidRPr="006A64BA">
              <w:rPr>
                <w:sz w:val="16"/>
                <w:szCs w:val="16"/>
              </w:rPr>
              <w:t>. &lt;Parágrafo adicionado por el artículo 2 del Acto Legislativo 4 de 2017. El nuevo texto es el siguiente:&gt; Durante los veinte (20) años siguientes a la entrada en vigencia del presente acto legislativo, las entidades beneficiarias cuya apropiación bienal de inversión sea menor a 4.000 salarios mínimos mensuales legales vigentes y que tengan un adecuado desempeño en la gestión de estos recursos, definirán directamente los proyectos de inversión cuando estos tengan como objeto la implementación del Acuerdo Final para la Terminación del Conflicto y la Construcción de una Paz Estable y Duradera, en concordancia con el decreto con fuerza de ley que para el efecto expida el Gobierno nacional en los seis (6) meses siguientes a la entrada en vigencia del presente acto legislativo. Los demás proyectos serán definidos por el Órgano Colegiado de Administración y Decisión respectivo.</w:t>
            </w:r>
          </w:p>
        </w:tc>
        <w:tc>
          <w:tcPr>
            <w:tcW w:w="1382" w:type="pct"/>
          </w:tcPr>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Pr="002B2F5F" w:rsidRDefault="004B04E6" w:rsidP="00796562">
            <w:pPr>
              <w:spacing w:before="57" w:after="57"/>
              <w:jc w:val="both"/>
              <w:rPr>
                <w:sz w:val="16"/>
                <w:szCs w:val="16"/>
              </w:rPr>
            </w:pPr>
          </w:p>
          <w:p w:rsidR="004B04E6" w:rsidRDefault="004B04E6" w:rsidP="00796562">
            <w:pPr>
              <w:spacing w:before="57" w:after="57"/>
              <w:jc w:val="both"/>
              <w:rPr>
                <w:strike/>
                <w:color w:val="FF0000"/>
                <w:sz w:val="16"/>
                <w:szCs w:val="16"/>
              </w:rPr>
            </w:pPr>
            <w:r w:rsidRPr="002B2F5F">
              <w:rPr>
                <w:strike/>
                <w:color w:val="FF0000"/>
                <w:sz w:val="16"/>
                <w:szCs w:val="16"/>
              </w:rPr>
              <w:t>La ley a la que se refiere el inciso 2o del artículo anterior definirá, igualmente, el porcentaje anual de los recursos de Sistema General de Regalías destinado a su funcionamiento y al del Sistema de Monitoreo, Seguimiento, Control y Evaluación de las Regalías. Este porcentaje se descontará en forma proporcional del total de los ingresos del Sistema General de Regalías distribuidos en el inciso cuarto del presente artículo.</w:t>
            </w: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r w:rsidRPr="006A64BA">
              <w:rPr>
                <w:b/>
                <w:strike/>
                <w:color w:val="FF0000"/>
                <w:sz w:val="16"/>
                <w:szCs w:val="16"/>
              </w:rPr>
              <w:t>PARÁGRAFO 2o. TRANSITORIO.</w:t>
            </w:r>
            <w:r w:rsidRPr="006A64BA">
              <w:rPr>
                <w:strike/>
                <w:color w:val="FF0000"/>
                <w:sz w:val="16"/>
                <w:szCs w:val="16"/>
              </w:rPr>
              <w:t xml:space="preserve"> Respecto de los recursos que se destinarán a las asignaciones directas de que trata el inciso 2o del presente artículo y a los Fondos de Compensación Regional, y de Desarrollo Regional, su distribución durante los tres primeros años será así: durante el primer año corresponderá a un porcentaje equivalente al 50% para las asignaciones directas de que trata el inciso 2o del presente artículo y un 50% para los fondos enunciados en este parágrafo; de la misma forma, durante el segundo año se destinará un porcentaje equivalente al 35% y al 65% respectivamente; y durante el tercer año se destinará un porcentaje equivalente al 25% y el 75%, respectivamente. </w:t>
            </w:r>
            <w:r w:rsidRPr="006A64BA">
              <w:rPr>
                <w:strike/>
                <w:color w:val="FF0000"/>
                <w:sz w:val="16"/>
                <w:szCs w:val="16"/>
              </w:rPr>
              <w:br/>
            </w:r>
            <w:r w:rsidRPr="006A64BA">
              <w:rPr>
                <w:strike/>
                <w:color w:val="FF0000"/>
                <w:sz w:val="16"/>
                <w:szCs w:val="16"/>
              </w:rPr>
              <w:br/>
              <w:t>En el evento en que durante el período comprendido entre los años 2012 y 2014, las asignaciones directas de que trata el inciso 2o del presente artículo, sean inferiores al 50% del promedio anual, en pesos constantes de 2010, de las asignaciones directas causadas menos descuentos de ley entre los años 2007 y 2010; y durante el período comprendido entre los años 2015 y 2020, sean inferiores al 40% del promedio anual, en pesos constantes de 2010, de las asignaciones directas causadas menos descuentos de ley entre los años 2007 y 2010; el departamento, municipio o distrito, podrá utilizar los recursos de la asignación del departamento respectivo en el Fondo de Desarrollo Regional, hasta alcanzar dicho porcentaje o hasta agotar los recursos del departamento en el mencionado Fondo, lo que ocurra primero.</w:t>
            </w:r>
          </w:p>
          <w:p w:rsidR="004B04E6" w:rsidRDefault="004B04E6" w:rsidP="00796562">
            <w:pPr>
              <w:spacing w:before="57" w:after="57"/>
              <w:jc w:val="both"/>
              <w:rPr>
                <w:strike/>
                <w:color w:val="FF0000"/>
                <w:sz w:val="16"/>
                <w:szCs w:val="16"/>
              </w:rPr>
            </w:pPr>
            <w:r w:rsidRPr="006A64BA">
              <w:rPr>
                <w:strike/>
                <w:color w:val="FF0000"/>
                <w:sz w:val="16"/>
                <w:szCs w:val="16"/>
              </w:rPr>
              <w:t> </w:t>
            </w:r>
            <w:r w:rsidRPr="006A64BA">
              <w:rPr>
                <w:strike/>
                <w:color w:val="FF0000"/>
                <w:sz w:val="16"/>
                <w:szCs w:val="16"/>
              </w:rPr>
              <w:br/>
            </w:r>
          </w:p>
          <w:p w:rsidR="004B04E6" w:rsidRDefault="004B04E6" w:rsidP="00796562">
            <w:pPr>
              <w:spacing w:before="57" w:after="57"/>
              <w:jc w:val="both"/>
              <w:rPr>
                <w:strike/>
                <w:color w:val="FF0000"/>
                <w:sz w:val="16"/>
                <w:szCs w:val="16"/>
              </w:rPr>
            </w:pPr>
            <w:r w:rsidRPr="006A64BA">
              <w:rPr>
                <w:strike/>
                <w:color w:val="FF0000"/>
                <w:sz w:val="16"/>
                <w:szCs w:val="16"/>
              </w:rPr>
              <w:br/>
            </w:r>
            <w:r w:rsidRPr="006A64BA">
              <w:rPr>
                <w:b/>
                <w:strike/>
                <w:color w:val="FF0000"/>
                <w:sz w:val="16"/>
                <w:szCs w:val="16"/>
              </w:rPr>
              <w:t>PARÁGRAFO 3o. TRANSITORIO.</w:t>
            </w:r>
            <w:r w:rsidRPr="006A64BA">
              <w:rPr>
                <w:strike/>
                <w:color w:val="FF0000"/>
                <w:sz w:val="16"/>
                <w:szCs w:val="16"/>
              </w:rPr>
              <w:t xml:space="preserve"> En el primer año de operación del Sistema General de Regalías, se destinará un veinticinco por ciento (25%) de sus recursos al Fondo de Ahorro y Estabilización. </w:t>
            </w:r>
            <w:r w:rsidRPr="006A64BA">
              <w:rPr>
                <w:strike/>
                <w:color w:val="FF0000"/>
                <w:sz w:val="16"/>
                <w:szCs w:val="16"/>
              </w:rPr>
              <w:br/>
            </w:r>
            <w:r w:rsidRPr="006A64BA">
              <w:rPr>
                <w:strike/>
                <w:color w:val="FF0000"/>
                <w:sz w:val="16"/>
                <w:szCs w:val="16"/>
              </w:rPr>
              <w:br/>
              <w:t>Durante el período 2012-2014, una quinta parte de los recursos anuales del Fondo de Ahorro y Estabilización se destinará a las asignaciones directas de que trata el inciso 2o del presente artículo. </w:t>
            </w:r>
          </w:p>
          <w:p w:rsidR="004B04E6" w:rsidRPr="006A64BA" w:rsidRDefault="004B04E6" w:rsidP="00796562">
            <w:pPr>
              <w:spacing w:before="57" w:after="57"/>
              <w:jc w:val="both"/>
              <w:rPr>
                <w:strike/>
                <w:color w:val="FF0000"/>
                <w:sz w:val="16"/>
                <w:szCs w:val="16"/>
              </w:rPr>
            </w:pPr>
            <w:r w:rsidRPr="006A64BA">
              <w:rPr>
                <w:strike/>
                <w:color w:val="FF0000"/>
                <w:sz w:val="16"/>
                <w:szCs w:val="16"/>
              </w:rPr>
              <w:br/>
            </w:r>
            <w:r w:rsidRPr="006A64BA">
              <w:rPr>
                <w:strike/>
                <w:color w:val="FF0000"/>
                <w:sz w:val="16"/>
                <w:szCs w:val="16"/>
              </w:rPr>
              <w:br/>
            </w:r>
            <w:r w:rsidRPr="006A64BA">
              <w:rPr>
                <w:b/>
                <w:strike/>
                <w:color w:val="FF0000"/>
                <w:sz w:val="16"/>
                <w:szCs w:val="16"/>
              </w:rPr>
              <w:t>PARÁGRAFO 4o. TRANSITORIO.</w:t>
            </w:r>
            <w:r w:rsidRPr="006A64BA">
              <w:rPr>
                <w:strike/>
                <w:color w:val="FF0000"/>
                <w:sz w:val="16"/>
                <w:szCs w:val="16"/>
              </w:rPr>
              <w:t xml:space="preserve"> El Gobierno Nacional contará con un término de tres (3) meses contados a partir de la fecha de promulgación del presente acto legislativo, para radicar ante el Congreso de la República el proyecto de ley a la que se refiere el inciso 2o del artículo anterior, que ajuste el régimen de regalías al nuevo marco constitucional. </w:t>
            </w:r>
            <w:r w:rsidRPr="006A64BA">
              <w:rPr>
                <w:strike/>
                <w:color w:val="FF0000"/>
                <w:sz w:val="16"/>
                <w:szCs w:val="16"/>
              </w:rPr>
              <w:br/>
            </w:r>
            <w:r w:rsidRPr="006A64BA">
              <w:rPr>
                <w:strike/>
                <w:color w:val="FF0000"/>
                <w:sz w:val="16"/>
                <w:szCs w:val="16"/>
              </w:rPr>
              <w:br/>
              <w:t>Una vez radicado el proyecto de ley a que se refiere el inciso anterior, el Congreso de la República contará con un término que no podrá exceder de nueve (9) meses para su aprobación. Si vencido este término no se ha expedido la ley por parte del Congreso, se faculta por un (1) mes al Presidente de la República para expedir decretos con fuerza de ley para regular la materia. </w:t>
            </w:r>
            <w:r w:rsidRPr="006A64BA">
              <w:rPr>
                <w:strike/>
                <w:color w:val="FF0000"/>
                <w:sz w:val="16"/>
                <w:szCs w:val="16"/>
              </w:rPr>
              <w:br/>
            </w:r>
            <w:r w:rsidRPr="006A64BA">
              <w:rPr>
                <w:strike/>
                <w:color w:val="FF0000"/>
                <w:sz w:val="16"/>
                <w:szCs w:val="16"/>
              </w:rPr>
              <w:br/>
            </w:r>
            <w:r w:rsidRPr="006A64BA">
              <w:rPr>
                <w:b/>
                <w:strike/>
                <w:color w:val="FF0000"/>
                <w:sz w:val="16"/>
                <w:szCs w:val="16"/>
              </w:rPr>
              <w:t>PARÁGRAFO 5o. TRANSITORIO.</w:t>
            </w:r>
            <w:r w:rsidRPr="006A64BA">
              <w:rPr>
                <w:strike/>
                <w:color w:val="FF0000"/>
                <w:sz w:val="16"/>
                <w:szCs w:val="16"/>
              </w:rPr>
              <w:t xml:space="preserve"> El Sistema General de regalías regirá a partir de 1o de enero de 2012. Si para esta fecha no ha entrado en vigencia la ley de que trata el inciso 2o del artículo anterior, el Gobierno Nacional garantizará la operación del Sistema mediante decretos transitorios con fuerza de ley, que expedirá a más tardar el 31 de diciembre de 2011. </w:t>
            </w:r>
            <w:r w:rsidRPr="006A64BA">
              <w:rPr>
                <w:strike/>
                <w:color w:val="FF0000"/>
                <w:sz w:val="16"/>
                <w:szCs w:val="16"/>
              </w:rPr>
              <w:br/>
            </w:r>
            <w:r w:rsidRPr="006A64BA">
              <w:rPr>
                <w:strike/>
                <w:color w:val="FF0000"/>
                <w:sz w:val="16"/>
                <w:szCs w:val="16"/>
              </w:rPr>
              <w:br/>
            </w:r>
            <w:r w:rsidRPr="006A64BA">
              <w:rPr>
                <w:b/>
                <w:strike/>
                <w:color w:val="FF0000"/>
                <w:sz w:val="16"/>
                <w:szCs w:val="16"/>
              </w:rPr>
              <w:t>PARÁGRAFO 6o. TRANSITORIO.</w:t>
            </w:r>
            <w:r w:rsidRPr="006A64BA">
              <w:rPr>
                <w:strike/>
                <w:color w:val="FF0000"/>
                <w:sz w:val="16"/>
                <w:szCs w:val="16"/>
              </w:rPr>
              <w:t xml:space="preserve"> Para asegurar la ejecución de los recursos en la vigencia 2012, el Gobierno Nacional expedirá el presupuesto del Sistema General de Regalías para la citada vigencia fiscal, mediante un decreto con fuerza de ley.</w:t>
            </w: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b/>
                <w:sz w:val="16"/>
                <w:szCs w:val="16"/>
              </w:rPr>
            </w:pPr>
          </w:p>
          <w:p w:rsidR="004B04E6" w:rsidRDefault="004B04E6" w:rsidP="00796562">
            <w:pPr>
              <w:spacing w:before="57" w:after="57"/>
              <w:jc w:val="both"/>
              <w:rPr>
                <w:b/>
                <w:sz w:val="16"/>
                <w:szCs w:val="16"/>
              </w:rPr>
            </w:pPr>
            <w:r w:rsidRPr="00B1684B">
              <w:rPr>
                <w:b/>
                <w:sz w:val="16"/>
                <w:szCs w:val="16"/>
              </w:rPr>
              <w:t xml:space="preserve">PARÁGRAFO </w:t>
            </w:r>
            <w:r>
              <w:rPr>
                <w:b/>
                <w:strike/>
                <w:color w:val="FF0000"/>
                <w:sz w:val="16"/>
                <w:szCs w:val="16"/>
              </w:rPr>
              <w:t>7</w:t>
            </w:r>
            <w:r w:rsidRPr="00B1684B">
              <w:rPr>
                <w:b/>
                <w:strike/>
                <w:color w:val="FF0000"/>
                <w:sz w:val="16"/>
                <w:szCs w:val="16"/>
              </w:rPr>
              <w:t>o</w:t>
            </w:r>
            <w:r>
              <w:rPr>
                <w:b/>
                <w:sz w:val="16"/>
                <w:szCs w:val="16"/>
              </w:rPr>
              <w:t xml:space="preserve"> 2</w:t>
            </w:r>
            <w:r w:rsidRPr="00B1684B">
              <w:rPr>
                <w:b/>
                <w:sz w:val="16"/>
                <w:szCs w:val="16"/>
              </w:rPr>
              <w:t>o. TRANSITORIO.</w:t>
            </w:r>
          </w:p>
          <w:p w:rsidR="004B04E6" w:rsidRDefault="004B04E6" w:rsidP="00796562">
            <w:pPr>
              <w:spacing w:before="57" w:after="57"/>
              <w:jc w:val="both"/>
              <w:rPr>
                <w:strike/>
                <w:color w:val="FF0000"/>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Pr="0086552B" w:rsidRDefault="004B04E6" w:rsidP="00796562">
            <w:pPr>
              <w:spacing w:before="57" w:after="57"/>
              <w:jc w:val="both"/>
              <w:rPr>
                <w:strike/>
                <w:color w:val="FF0000"/>
                <w:sz w:val="16"/>
                <w:szCs w:val="16"/>
              </w:rPr>
            </w:pPr>
            <w:r w:rsidRPr="006A64BA">
              <w:rPr>
                <w:sz w:val="16"/>
                <w:szCs w:val="16"/>
              </w:rPr>
              <w:t xml:space="preserve">Durante este período, la asignación para ahorro pensional territorial será del 7% de los ingresos del Sistema General de Regalías </w:t>
            </w:r>
            <w:r w:rsidRPr="0086552B">
              <w:rPr>
                <w:b/>
                <w:color w:val="0000FF"/>
                <w:sz w:val="16"/>
                <w:szCs w:val="16"/>
                <w:u w:val="single"/>
              </w:rPr>
              <w:t>y para el Fondo de Ahorro y Estabilización será del 10%, la diferencia de los porcentajes definidos en el inciso 4 del presente artículo de los fondos citados, con los porcentajes definidos transitoriamente en el presente inciso, serán invertidos para la paz.</w:t>
            </w:r>
            <w:r w:rsidRPr="006A64BA">
              <w:rPr>
                <w:sz w:val="16"/>
                <w:szCs w:val="16"/>
              </w:rPr>
              <w:t xml:space="preserve"> </w:t>
            </w:r>
            <w:r w:rsidRPr="0086552B">
              <w:rPr>
                <w:strike/>
                <w:color w:val="FF0000"/>
                <w:sz w:val="16"/>
                <w:szCs w:val="16"/>
              </w:rPr>
              <w:t>La diferencia entre el total de los ingresos del Sistema General de Regalías y los recursos destinados al ahorro pensional territorial, al Fondo de Ciencia, Tecnología e Innovación, al Fondo de Desarrollo Regional, al Fondo de Compensación Regional, a las asignaciones directas a las que se refiere el inciso segundo del presente artículo y a la Asignación para la Paz a la que se refiere el inciso 1 del presente parágrafo, se destinará al Fondo de Ahorro y Estabilización.</w:t>
            </w: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Pr="006A64BA" w:rsidRDefault="004B04E6" w:rsidP="00796562">
            <w:pPr>
              <w:spacing w:before="57" w:after="57"/>
              <w:jc w:val="both"/>
              <w:rPr>
                <w:sz w:val="16"/>
                <w:szCs w:val="16"/>
              </w:rPr>
            </w:pPr>
          </w:p>
          <w:p w:rsidR="004B04E6" w:rsidRDefault="004B04E6" w:rsidP="00796562">
            <w:pPr>
              <w:spacing w:before="57" w:after="57"/>
              <w:jc w:val="both"/>
              <w:rPr>
                <w:strike/>
                <w:color w:val="FF0000"/>
                <w:sz w:val="16"/>
                <w:szCs w:val="16"/>
              </w:rPr>
            </w:pPr>
            <w:r w:rsidRPr="0086552B">
              <w:rPr>
                <w:strike/>
                <w:color w:val="FF0000"/>
                <w:sz w:val="16"/>
                <w:szCs w:val="16"/>
              </w:rPr>
              <w:t xml:space="preserve">Para cumplir con lo dispuesto en el presente parágrafo transitorio, el Gobierno nacional, dentro de los seis (6) meses siguientes a la entrada en vigencia del presente acto legislativo, expedirá los decretos con fuerza de ley necesarios para ajustar el presupuesto del bienio 2017-2018 y para adoptar las medidas requeridas para el funcionamiento de este Órgano Colegiado de Administración y Decisión, y de la Asignación para la Paz. </w:t>
            </w:r>
          </w:p>
          <w:p w:rsidR="004B04E6" w:rsidRDefault="004B04E6" w:rsidP="00796562">
            <w:pPr>
              <w:spacing w:before="57" w:after="57"/>
              <w:jc w:val="both"/>
              <w:rPr>
                <w:strike/>
                <w:color w:val="FF0000"/>
                <w:sz w:val="16"/>
                <w:szCs w:val="16"/>
              </w:rPr>
            </w:pPr>
          </w:p>
          <w:p w:rsidR="004B04E6" w:rsidRPr="0086552B"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r w:rsidRPr="0086552B">
              <w:rPr>
                <w:strike/>
                <w:color w:val="FF0000"/>
                <w:sz w:val="16"/>
                <w:szCs w:val="16"/>
              </w:rPr>
              <w:t>PARÁGRAFO 8o. TRANSITORIO. &lt;Parágrafo adicionado por el artículo 2 del Acto Legislativo 4 de 2017. El nuevo texto es el siguiente:&gt; Con el propósito de financiar la infraestructura de transporte requerida para la implementación del Acuerdo Final para la Terminación del Conflicto y la Construcción de una Paz Estable y Duradera, el Gobierno nacional trasladará el 60% de los saldos no aprobados en el Fondo de Ciencia, Tecnología e Innovación a 31 de diciembre de 2016. El 50% de los recursos objeto del traslado será destinado a la Asignación para la Paz, para ser definidos por el Órgano Colegiado de Administración y Decisión de que trata el parágrafo 7o transitorio del presente artículo y el 50% restante al Fondo de Desarrollo Regional.</w:t>
            </w:r>
          </w:p>
          <w:p w:rsidR="004B04E6" w:rsidRPr="0086552B"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r w:rsidRPr="0086552B">
              <w:rPr>
                <w:strike/>
                <w:color w:val="FF0000"/>
                <w:sz w:val="16"/>
                <w:szCs w:val="16"/>
              </w:rPr>
              <w:t>El gobierno departamental podrá establecer que el porcentaje de recursos a trasladar sea superior al 60%, en cuyo caso deberá informar al Gobierno nacional dentro de los cinco días siguientes a la entrada en vigencia del presente Acto Legislativo.</w:t>
            </w:r>
          </w:p>
          <w:p w:rsidR="004B04E6" w:rsidRPr="0086552B" w:rsidRDefault="004B04E6" w:rsidP="00796562">
            <w:pPr>
              <w:spacing w:before="57" w:after="57"/>
              <w:jc w:val="both"/>
              <w:rPr>
                <w:strike/>
                <w:color w:val="FF0000"/>
                <w:sz w:val="16"/>
                <w:szCs w:val="16"/>
              </w:rPr>
            </w:pPr>
          </w:p>
          <w:p w:rsidR="004B04E6" w:rsidRDefault="004B04E6" w:rsidP="00796562">
            <w:pPr>
              <w:spacing w:before="57" w:after="57"/>
              <w:jc w:val="both"/>
              <w:rPr>
                <w:strike/>
                <w:color w:val="FF0000"/>
                <w:sz w:val="16"/>
                <w:szCs w:val="16"/>
              </w:rPr>
            </w:pPr>
            <w:r w:rsidRPr="0086552B">
              <w:rPr>
                <w:strike/>
                <w:color w:val="FF0000"/>
                <w:sz w:val="16"/>
                <w:szCs w:val="16"/>
              </w:rPr>
              <w:t xml:space="preserve">El Gobierno nacional realizará los ajustes presupuestales a los que haya lugar mediante un decreto con fuerza de ley. Los recursos trasladados serán apropiados al mismo departamento beneficiario de los saldos y se distribuirán en partes iguales a la Asignación para la Paz y al Fondo de Desarrollo Regional. </w:t>
            </w:r>
          </w:p>
          <w:p w:rsidR="004B04E6" w:rsidRPr="0086552B" w:rsidRDefault="004B04E6" w:rsidP="00796562">
            <w:pPr>
              <w:spacing w:before="57" w:after="57"/>
              <w:jc w:val="both"/>
              <w:rPr>
                <w:strike/>
                <w:color w:val="FF0000"/>
                <w:sz w:val="16"/>
                <w:szCs w:val="16"/>
              </w:rPr>
            </w:pPr>
          </w:p>
          <w:p w:rsidR="004B04E6" w:rsidRDefault="004B04E6" w:rsidP="00796562">
            <w:pPr>
              <w:spacing w:before="57" w:after="57"/>
              <w:jc w:val="both"/>
              <w:rPr>
                <w:b/>
                <w:sz w:val="16"/>
                <w:szCs w:val="16"/>
              </w:rPr>
            </w:pPr>
            <w:r w:rsidRPr="00B1684B">
              <w:rPr>
                <w:b/>
                <w:sz w:val="16"/>
                <w:szCs w:val="16"/>
              </w:rPr>
              <w:t xml:space="preserve">PARÁGRAFO </w:t>
            </w:r>
            <w:r w:rsidRPr="00B1684B">
              <w:rPr>
                <w:b/>
                <w:strike/>
                <w:color w:val="FF0000"/>
                <w:sz w:val="16"/>
                <w:szCs w:val="16"/>
              </w:rPr>
              <w:t>9o</w:t>
            </w:r>
            <w:r w:rsidRPr="00B1684B">
              <w:rPr>
                <w:b/>
                <w:sz w:val="16"/>
                <w:szCs w:val="16"/>
              </w:rPr>
              <w:t xml:space="preserve"> 3o. TRANSITORIO.</w:t>
            </w:r>
          </w:p>
          <w:p w:rsidR="004B04E6" w:rsidRDefault="004B04E6" w:rsidP="00796562">
            <w:pPr>
              <w:spacing w:before="57" w:after="57"/>
              <w:jc w:val="both"/>
              <w:rPr>
                <w:b/>
                <w:sz w:val="16"/>
                <w:szCs w:val="16"/>
              </w:rPr>
            </w:pPr>
          </w:p>
          <w:p w:rsidR="004B04E6" w:rsidRDefault="004B04E6" w:rsidP="00796562">
            <w:pPr>
              <w:spacing w:before="57" w:after="57"/>
              <w:jc w:val="both"/>
              <w:rPr>
                <w:b/>
                <w:sz w:val="16"/>
                <w:szCs w:val="16"/>
              </w:rPr>
            </w:pPr>
          </w:p>
          <w:p w:rsidR="004B04E6" w:rsidRDefault="004B04E6" w:rsidP="00796562">
            <w:pPr>
              <w:spacing w:before="57" w:after="57"/>
              <w:jc w:val="both"/>
              <w:rPr>
                <w:b/>
                <w:sz w:val="16"/>
                <w:szCs w:val="16"/>
              </w:rPr>
            </w:pPr>
          </w:p>
          <w:p w:rsidR="004B04E6" w:rsidRDefault="004B04E6" w:rsidP="00796562">
            <w:pPr>
              <w:spacing w:before="57" w:after="57"/>
              <w:jc w:val="both"/>
              <w:rPr>
                <w:b/>
                <w:sz w:val="16"/>
                <w:szCs w:val="16"/>
              </w:rPr>
            </w:pPr>
          </w:p>
          <w:p w:rsidR="004B04E6" w:rsidRDefault="004B04E6" w:rsidP="00796562">
            <w:pPr>
              <w:spacing w:before="57" w:after="57"/>
              <w:jc w:val="both"/>
              <w:rPr>
                <w:b/>
                <w:sz w:val="16"/>
                <w:szCs w:val="16"/>
              </w:rPr>
            </w:pPr>
          </w:p>
          <w:p w:rsidR="004B04E6" w:rsidRDefault="004B04E6" w:rsidP="00796562">
            <w:pPr>
              <w:spacing w:before="57" w:after="57"/>
              <w:jc w:val="both"/>
              <w:rPr>
                <w:b/>
                <w:sz w:val="16"/>
                <w:szCs w:val="16"/>
              </w:rPr>
            </w:pPr>
          </w:p>
          <w:p w:rsidR="004B04E6" w:rsidRDefault="004B04E6" w:rsidP="00796562">
            <w:pPr>
              <w:spacing w:before="57" w:after="57"/>
              <w:jc w:val="both"/>
              <w:rPr>
                <w:b/>
                <w:sz w:val="16"/>
                <w:szCs w:val="16"/>
              </w:rPr>
            </w:pPr>
          </w:p>
          <w:p w:rsidR="004B04E6" w:rsidRDefault="004B04E6" w:rsidP="00796562">
            <w:pPr>
              <w:spacing w:before="57" w:after="57"/>
              <w:jc w:val="both"/>
              <w:rPr>
                <w:b/>
                <w:sz w:val="16"/>
                <w:szCs w:val="16"/>
              </w:rPr>
            </w:pPr>
          </w:p>
          <w:p w:rsidR="004B04E6" w:rsidRDefault="004B04E6" w:rsidP="00796562">
            <w:pPr>
              <w:spacing w:before="57" w:after="57"/>
              <w:jc w:val="both"/>
              <w:rPr>
                <w:sz w:val="16"/>
                <w:szCs w:val="16"/>
              </w:rPr>
            </w:pPr>
            <w:r w:rsidRPr="006A64BA">
              <w:rPr>
                <w:sz w:val="16"/>
                <w:szCs w:val="16"/>
              </w:rPr>
              <w:t xml:space="preserve">. </w:t>
            </w:r>
          </w:p>
          <w:p w:rsidR="004B04E6" w:rsidRDefault="004B04E6" w:rsidP="00796562">
            <w:pPr>
              <w:spacing w:before="57" w:after="57"/>
              <w:jc w:val="both"/>
              <w:rPr>
                <w:b/>
                <w:sz w:val="16"/>
                <w:szCs w:val="16"/>
              </w:rPr>
            </w:pPr>
          </w:p>
          <w:p w:rsidR="004B04E6" w:rsidRDefault="004B04E6" w:rsidP="00796562">
            <w:pPr>
              <w:spacing w:before="57" w:after="57"/>
              <w:jc w:val="both"/>
              <w:rPr>
                <w:b/>
                <w:sz w:val="16"/>
                <w:szCs w:val="16"/>
              </w:rPr>
            </w:pPr>
          </w:p>
          <w:p w:rsidR="004B04E6" w:rsidRPr="002B2F5F" w:rsidRDefault="004B04E6" w:rsidP="00796562">
            <w:pPr>
              <w:spacing w:before="57" w:after="57"/>
              <w:jc w:val="both"/>
              <w:rPr>
                <w:sz w:val="16"/>
                <w:szCs w:val="16"/>
              </w:rPr>
            </w:pPr>
            <w:r w:rsidRPr="00B1684B">
              <w:rPr>
                <w:b/>
                <w:sz w:val="16"/>
                <w:szCs w:val="16"/>
              </w:rPr>
              <w:t xml:space="preserve">PARÁGRAFO </w:t>
            </w:r>
            <w:r w:rsidRPr="00B1684B">
              <w:rPr>
                <w:b/>
                <w:strike/>
                <w:color w:val="FF0000"/>
                <w:sz w:val="16"/>
                <w:szCs w:val="16"/>
              </w:rPr>
              <w:t>10</w:t>
            </w:r>
            <w:r w:rsidRPr="00B1684B">
              <w:rPr>
                <w:b/>
                <w:sz w:val="16"/>
                <w:szCs w:val="16"/>
              </w:rPr>
              <w:t xml:space="preserve"> 4o. TRANSITORIO</w:t>
            </w:r>
            <w:r w:rsidRPr="006A64BA">
              <w:rPr>
                <w:sz w:val="16"/>
                <w:szCs w:val="16"/>
              </w:rPr>
              <w:t xml:space="preserve">. </w:t>
            </w:r>
          </w:p>
          <w:p w:rsidR="004B04E6" w:rsidRPr="002B2F5F" w:rsidRDefault="004B04E6" w:rsidP="00796562">
            <w:pPr>
              <w:spacing w:before="57" w:after="57"/>
              <w:jc w:val="both"/>
              <w:rPr>
                <w:sz w:val="16"/>
                <w:szCs w:val="16"/>
              </w:rPr>
            </w:pPr>
          </w:p>
        </w:tc>
        <w:tc>
          <w:tcPr>
            <w:tcW w:w="1381" w:type="pct"/>
          </w:tcPr>
          <w:p w:rsidR="004B04E6" w:rsidRPr="002B2F5F" w:rsidRDefault="004B04E6" w:rsidP="00796562">
            <w:pPr>
              <w:spacing w:before="57" w:after="57"/>
              <w:jc w:val="both"/>
              <w:rPr>
                <w:sz w:val="16"/>
                <w:szCs w:val="16"/>
              </w:rPr>
            </w:pPr>
            <w:r w:rsidRPr="000D4E53">
              <w:rPr>
                <w:b/>
                <w:sz w:val="16"/>
                <w:szCs w:val="16"/>
              </w:rPr>
              <w:t>PARÁGRAFO 3o</w:t>
            </w:r>
            <w:r w:rsidRPr="002B2F5F">
              <w:rPr>
                <w:sz w:val="16"/>
                <w:szCs w:val="16"/>
              </w:rPr>
              <w:t>. Créase el Sistema de Monitoreo, Seguimiento, Control y Evaluación de las Regalías, cuyo objeto será velar por el uso eficiente y eficaz de los recursos del Sistema General de Regalías, fortaleciendo la transparencia, la participación ciudadana y el Buen Gobierno.</w:t>
            </w:r>
          </w:p>
          <w:p w:rsidR="004B04E6" w:rsidRDefault="004B04E6" w:rsidP="00796562">
            <w:pPr>
              <w:spacing w:before="57" w:after="57"/>
              <w:jc w:val="both"/>
              <w:rPr>
                <w:sz w:val="16"/>
                <w:szCs w:val="16"/>
              </w:rPr>
            </w:pPr>
          </w:p>
          <w:p w:rsidR="004B04E6" w:rsidRPr="00E42526" w:rsidRDefault="004B04E6" w:rsidP="00796562">
            <w:pPr>
              <w:spacing w:before="57" w:after="57"/>
              <w:jc w:val="both"/>
              <w:rPr>
                <w:sz w:val="16"/>
                <w:szCs w:val="16"/>
              </w:rPr>
            </w:pPr>
            <w:r w:rsidRPr="00E42526">
              <w:rPr>
                <w:sz w:val="16"/>
                <w:szCs w:val="16"/>
              </w:rPr>
              <w:t xml:space="preserve">La ley a la que se refiere el inciso 2o del artículo anterior, definirá su funcionamiento y el procedimiento para la imposición de medidas preventivas, correctivas y sancionatorias por el inadecuado uso de los recursos del Sistema General de Regalías. Dentro de estas medidas podrán aplicarse a los Departamentos, Municipios y/o Distritos y demás ejecutores la suspensión de giros, cancelación de proyectos y/o el reintegro de recursos. </w:t>
            </w: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rPr>
                <w:sz w:val="16"/>
                <w:szCs w:val="16"/>
              </w:rPr>
            </w:pPr>
            <w:r w:rsidRPr="00E83F78">
              <w:rPr>
                <w:b/>
                <w:bCs/>
                <w:sz w:val="16"/>
                <w:szCs w:val="16"/>
              </w:rPr>
              <w:t>PARÁGRAFO 4o.</w:t>
            </w:r>
            <w:r w:rsidRPr="00E83F78">
              <w:rPr>
                <w:sz w:val="16"/>
                <w:szCs w:val="16"/>
              </w:rPr>
              <w:t> &lt;Parágrafo adicionado por el artículo </w:t>
            </w:r>
            <w:hyperlink r:id="rId19" w:anchor="1" w:history="1">
              <w:r w:rsidRPr="00E83F78">
                <w:rPr>
                  <w:rStyle w:val="Hipervnculo"/>
                  <w:sz w:val="16"/>
                  <w:szCs w:val="16"/>
                </w:rPr>
                <w:t>1</w:t>
              </w:r>
            </w:hyperlink>
            <w:r w:rsidRPr="00E83F78">
              <w:rPr>
                <w:sz w:val="16"/>
                <w:szCs w:val="16"/>
              </w:rPr>
              <w:t> del Acto Legislativo 4 de 2017. El nuevo texto es el siguiente:&gt; Cuando una entidad territorial que recibe recursos del Sistema General de Regalías para el ahorro pensional territorial cubra sus pasivos pensionales, destinará los recursos provenientes de esta fuente a la financiación de proyectos de inversión. Durante los veinte (20) años siguientes a la entrada en vigencia del presente acto legislativo, estos proyectos deberán tener como objeto la implementación del Acuerdo Final para la Terminación del Conflicto y la Construcción de una Paz Estable y Duradera, incluyendo la financiación de proyectos destinados a la reparación integral de víctimas. Estos proyectos deberán ser definidos, por el Órgano Colegiado de Administración y Decisión de que trata el parágrafo 7 transitorio del artículo </w:t>
            </w:r>
            <w:hyperlink r:id="rId20" w:anchor="2" w:history="1">
              <w:r w:rsidRPr="00E83F78">
                <w:rPr>
                  <w:rStyle w:val="Hipervnculo"/>
                  <w:sz w:val="16"/>
                  <w:szCs w:val="16"/>
                </w:rPr>
                <w:t>2o</w:t>
              </w:r>
            </w:hyperlink>
            <w:r w:rsidRPr="00E83F78">
              <w:rPr>
                <w:sz w:val="16"/>
                <w:szCs w:val="16"/>
              </w:rPr>
              <w:t> del presente acto legislativo; con posterioridad a los veinte (20) años, dichos proyectos deberán ser definidos por los Órganos Colegiados de Administración y Decisión Municipales y Departamentales que trata el parágrafo 2 del presente artículo.</w:t>
            </w:r>
          </w:p>
          <w:p w:rsidR="004B04E6" w:rsidRPr="00E83F78" w:rsidRDefault="004B04E6" w:rsidP="00796562">
            <w:pPr>
              <w:spacing w:before="57" w:after="57"/>
              <w:jc w:val="both"/>
              <w:rPr>
                <w:sz w:val="16"/>
                <w:szCs w:val="16"/>
              </w:rPr>
            </w:pPr>
          </w:p>
          <w:p w:rsidR="004B04E6" w:rsidRDefault="004B04E6" w:rsidP="00796562">
            <w:pPr>
              <w:spacing w:before="57" w:after="57"/>
              <w:jc w:val="both"/>
              <w:rPr>
                <w:sz w:val="16"/>
                <w:szCs w:val="16"/>
              </w:rPr>
            </w:pPr>
            <w:r w:rsidRPr="00E83F78">
              <w:rPr>
                <w:sz w:val="16"/>
                <w:szCs w:val="16"/>
              </w:rPr>
              <w:t>Las entidades territoriales que a la fecha de entrada en vigencia del presente Acto Legislativo cuenten con recursos de ahorro pensional provenientes del Sistema General de Regalías, que sobrepasen el cubrimiento requerido de sus pasivos pensionales, los destinarán igualmente a la financiación de proyectos de inversión en los términos señalados en el inciso anterior.</w:t>
            </w:r>
          </w:p>
          <w:p w:rsidR="004B04E6" w:rsidRPr="00E83F78" w:rsidRDefault="004B04E6" w:rsidP="00796562">
            <w:pPr>
              <w:spacing w:before="57" w:after="57"/>
              <w:jc w:val="both"/>
              <w:rPr>
                <w:sz w:val="16"/>
                <w:szCs w:val="16"/>
              </w:rPr>
            </w:pPr>
          </w:p>
          <w:p w:rsidR="004B04E6" w:rsidRDefault="004B04E6" w:rsidP="00796562">
            <w:pPr>
              <w:spacing w:before="57" w:after="57"/>
              <w:jc w:val="both"/>
              <w:rPr>
                <w:sz w:val="16"/>
                <w:szCs w:val="16"/>
              </w:rPr>
            </w:pPr>
            <w:r w:rsidRPr="00E83F78">
              <w:rPr>
                <w:sz w:val="16"/>
                <w:szCs w:val="16"/>
              </w:rPr>
              <w:t>El Gobierno nacional, mediante decreto con fuerza de ley, que expedirá dentro de los seis (6) meses siguientes a la entrada en vigencia del presente acto legislativo, reglamentará la materia.</w:t>
            </w:r>
          </w:p>
          <w:p w:rsidR="004B04E6" w:rsidRPr="00E83F78" w:rsidRDefault="004B04E6" w:rsidP="00796562">
            <w:pPr>
              <w:spacing w:before="57" w:after="57"/>
              <w:jc w:val="both"/>
              <w:rPr>
                <w:sz w:val="16"/>
                <w:szCs w:val="16"/>
              </w:rPr>
            </w:pPr>
          </w:p>
          <w:p w:rsidR="004B04E6" w:rsidRDefault="004B04E6" w:rsidP="00796562">
            <w:pPr>
              <w:spacing w:before="57" w:after="57"/>
              <w:jc w:val="both"/>
              <w:rPr>
                <w:sz w:val="16"/>
                <w:szCs w:val="16"/>
              </w:rPr>
            </w:pPr>
            <w:r w:rsidRPr="00E83F78">
              <w:rPr>
                <w:sz w:val="16"/>
                <w:szCs w:val="16"/>
              </w:rPr>
              <w:t>Para las entidades territoriales con una baja o nula incidencia del conflicto armado, los proyectos deberán ser aprobados por los Órganos Colegiados de Administración y decisión municipales y departamentales que trata el parágrafo 2 del presente artículo, y serán destinados prioritariamente para la reparación integral a las víctimas o para el cierre de brechas</w:t>
            </w:r>
            <w:r>
              <w:rPr>
                <w:sz w:val="16"/>
                <w:szCs w:val="16"/>
              </w:rPr>
              <w:t>.</w:t>
            </w: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r w:rsidRPr="005C0138">
              <w:rPr>
                <w:b/>
                <w:bCs/>
                <w:sz w:val="16"/>
                <w:szCs w:val="16"/>
              </w:rPr>
              <w:t>PARÁGRAFO 5o.</w:t>
            </w:r>
            <w:r w:rsidRPr="005C0138">
              <w:rPr>
                <w:sz w:val="16"/>
                <w:szCs w:val="16"/>
              </w:rPr>
              <w:t> &lt;Parágrafo adicionado por el artículo </w:t>
            </w:r>
            <w:hyperlink r:id="rId21" w:anchor="1" w:history="1">
              <w:r w:rsidRPr="005C0138">
                <w:rPr>
                  <w:rStyle w:val="Hipervnculo"/>
                  <w:sz w:val="16"/>
                  <w:szCs w:val="16"/>
                </w:rPr>
                <w:t>1</w:t>
              </w:r>
            </w:hyperlink>
            <w:r w:rsidRPr="005C0138">
              <w:rPr>
                <w:sz w:val="16"/>
                <w:szCs w:val="16"/>
              </w:rPr>
              <w:t> del Acto Legislativo 4 de 2017. El nuevo texto es el siguiente:&gt; Los programas o proyectos de inversión que se financiarán con los recursos del Fondo de Ciencia, Tecnología e Innovación, serán definidos por el respectivo Órgano Colegiado de Administración y Decisión, a través de convocatorias públicas abiertas y competitivas, articuladas con los correspondientes planes de desarrollo. Para la presentación y ejecución de los proyectos la entidad deberá ser parte del Sistema Nacional de Ciencia, Tecnología e Innovación. Los programas o proyectos aprobados serán ejecutados por las entidades que los presentaron en la convocatoria.</w:t>
            </w:r>
          </w:p>
          <w:p w:rsidR="004B04E6" w:rsidRPr="005C0138" w:rsidRDefault="004B04E6" w:rsidP="00796562">
            <w:pPr>
              <w:spacing w:before="57" w:after="57"/>
              <w:jc w:val="both"/>
              <w:rPr>
                <w:sz w:val="16"/>
                <w:szCs w:val="16"/>
              </w:rPr>
            </w:pPr>
          </w:p>
          <w:p w:rsidR="004B04E6" w:rsidRDefault="004B04E6" w:rsidP="00796562">
            <w:pPr>
              <w:spacing w:before="57" w:after="57"/>
              <w:jc w:val="both"/>
              <w:rPr>
                <w:sz w:val="16"/>
                <w:szCs w:val="16"/>
              </w:rPr>
            </w:pPr>
            <w:r w:rsidRPr="005C0138">
              <w:rPr>
                <w:sz w:val="16"/>
                <w:szCs w:val="16"/>
              </w:rPr>
              <w:t>Lo establecido en el presente parágrafo regirá desde la entrada en vigencia de la ley que lo reglamente.</w:t>
            </w: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Pr="005C0138" w:rsidRDefault="004B04E6" w:rsidP="00796562">
            <w:pPr>
              <w:spacing w:before="57" w:after="57"/>
              <w:jc w:val="both"/>
              <w:rPr>
                <w:sz w:val="16"/>
                <w:szCs w:val="16"/>
              </w:rPr>
            </w:pPr>
            <w:r w:rsidRPr="005C0138">
              <w:rPr>
                <w:b/>
                <w:bCs/>
                <w:sz w:val="16"/>
                <w:szCs w:val="16"/>
              </w:rPr>
              <w:t>PARÁGRAFO 1o. TRANSITORIO.</w:t>
            </w:r>
            <w:r w:rsidRPr="005C0138">
              <w:rPr>
                <w:sz w:val="16"/>
                <w:szCs w:val="16"/>
              </w:rPr>
              <w:t> Suprímase el Fondo Nacional de Regalías a partir de la fecha que determine la ley a la que se refiere el inciso 2o del artículo anterior. El Gobierno Nacional designará al liquidador y definirá el procedimiento y el plazo para la liquidación. Los recursos no comprometidos que posea el Fondo Nacional de Regalías a la entrada en vigencia del presente Acto Legislativo, se destinarán prioritariamente a la reconstrucción de la infraestructura vial del país y a la recuperación ambiental de las zonas afectadas por la emergencia invernal de 2010-2011.</w:t>
            </w: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Pr="005C0138" w:rsidRDefault="004B04E6" w:rsidP="00796562">
            <w:pPr>
              <w:spacing w:before="57" w:after="57"/>
              <w:jc w:val="both"/>
              <w:rPr>
                <w:sz w:val="16"/>
                <w:szCs w:val="16"/>
              </w:rPr>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rPr>
                <w:b/>
                <w:sz w:val="16"/>
                <w:szCs w:val="16"/>
              </w:rPr>
            </w:pPr>
          </w:p>
          <w:p w:rsidR="004B04E6" w:rsidRDefault="004B04E6" w:rsidP="00796562">
            <w:pPr>
              <w:spacing w:before="57" w:after="57"/>
              <w:jc w:val="both"/>
              <w:rPr>
                <w:b/>
                <w:sz w:val="16"/>
                <w:szCs w:val="16"/>
              </w:rPr>
            </w:pPr>
          </w:p>
          <w:p w:rsidR="004B04E6" w:rsidRPr="006A64BA" w:rsidRDefault="004B04E6" w:rsidP="00796562">
            <w:pPr>
              <w:spacing w:before="57" w:after="57"/>
              <w:jc w:val="both"/>
              <w:rPr>
                <w:sz w:val="16"/>
                <w:szCs w:val="16"/>
              </w:rPr>
            </w:pPr>
            <w:r>
              <w:rPr>
                <w:b/>
                <w:sz w:val="16"/>
                <w:szCs w:val="16"/>
              </w:rPr>
              <w:t>PARÁGRAFO 2</w:t>
            </w:r>
            <w:r w:rsidRPr="0086552B">
              <w:rPr>
                <w:b/>
                <w:sz w:val="16"/>
                <w:szCs w:val="16"/>
              </w:rPr>
              <w:t>o  TRANSITORIO</w:t>
            </w:r>
            <w:r w:rsidRPr="006A64BA">
              <w:rPr>
                <w:sz w:val="16"/>
                <w:szCs w:val="16"/>
              </w:rPr>
              <w:t>. &lt;Parágrafo adicionado por el artículo 2 del Acto Legislativo 4 de 2017. El nuevo texto es el siguiente:&gt; Durante los veinte (20) años siguientes a la entrada en vigencia del presente acto legislativo, un 7% de los ingresos del Sistema General de Regalías se destinarán a una asignación para la Paz que tendrá como objeto financiar proyectos de inversión para la implementación del Acuerdo Final para la Terminación del Conflicto y la Construcción de una Paz Estable y Duradera, incluyendo la financiación de proyectos destinados a la reparación de víctimas.</w:t>
            </w:r>
          </w:p>
          <w:p w:rsidR="004B04E6" w:rsidRDefault="004B04E6" w:rsidP="00796562">
            <w:pPr>
              <w:spacing w:before="57" w:after="57"/>
              <w:jc w:val="both"/>
              <w:rPr>
                <w:sz w:val="16"/>
                <w:szCs w:val="16"/>
              </w:rPr>
            </w:pPr>
          </w:p>
          <w:p w:rsidR="004B04E6" w:rsidRPr="006A64BA" w:rsidRDefault="004B04E6" w:rsidP="00796562">
            <w:pPr>
              <w:spacing w:before="57" w:after="57"/>
              <w:jc w:val="both"/>
              <w:rPr>
                <w:sz w:val="16"/>
                <w:szCs w:val="16"/>
              </w:rPr>
            </w:pPr>
            <w:r w:rsidRPr="006A64BA">
              <w:rPr>
                <w:sz w:val="16"/>
                <w:szCs w:val="16"/>
              </w:rPr>
              <w:t>Igual destinación tendrá el 70% de los ingresos que por rendimientos financieros genere el Sistema General de Regalías en estos años, con excepción de los generados por las asignaciones directas de que trata el inciso segundo del presente artículo. El 30% restante se destinará para incentivar la producción de municipios, en cuyos territorios se exploten los recursos naturales no renovables y a los municipios y distritos con puertos marítimos y fluviales por donde se transporten dichos recursos o derivados de los mismos.</w:t>
            </w: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Pr="0086552B" w:rsidRDefault="004B04E6" w:rsidP="00796562">
            <w:pPr>
              <w:spacing w:before="57" w:after="57"/>
              <w:jc w:val="both"/>
              <w:rPr>
                <w:sz w:val="16"/>
                <w:szCs w:val="16"/>
              </w:rPr>
            </w:pPr>
            <w:r w:rsidRPr="0086552B">
              <w:rPr>
                <w:sz w:val="16"/>
                <w:szCs w:val="16"/>
              </w:rPr>
              <w:t>Durante este período, la asignación para ahorro pensional territorial será del 7% de los ingresos del Sistema General de Regalías y para el Fondo de Ahorro y Estabilización será del 10%, la diferencia de los porcentajes definidos en el inciso 4 del presente artículo de los fondos citados, con los porcentajes definidos transitoriamente en el presente inciso, serán invertidos para la paz.</w:t>
            </w: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rPr>
                <w:sz w:val="16"/>
                <w:szCs w:val="16"/>
              </w:rPr>
            </w:pPr>
            <w:r w:rsidRPr="006A64BA">
              <w:rPr>
                <w:sz w:val="16"/>
                <w:szCs w:val="16"/>
              </w:rPr>
              <w:t>Los recursos a los que se refieren los incisos 1 y 2 de este parágrafo, se distribuirán priorizando las entidades territoriales más afectadas por la pobreza rural, las economías ilegales, la debilidad institucional, el conflicto armado y los municipios en cuyo territorio se adelanten explotaciones de recursos naturales no renovables y se orientarán a cerrar las brechas sociales, económicas e institucionales en dichas entidades territoriales.</w:t>
            </w:r>
          </w:p>
          <w:p w:rsidR="004B04E6" w:rsidRPr="006A64BA" w:rsidRDefault="004B04E6" w:rsidP="00796562">
            <w:pPr>
              <w:spacing w:before="57" w:after="57"/>
              <w:jc w:val="both"/>
              <w:rPr>
                <w:sz w:val="16"/>
                <w:szCs w:val="16"/>
              </w:rPr>
            </w:pPr>
          </w:p>
          <w:p w:rsidR="004B04E6" w:rsidRPr="006A64BA" w:rsidRDefault="004B04E6" w:rsidP="00796562">
            <w:pPr>
              <w:spacing w:before="57" w:after="57"/>
              <w:jc w:val="both"/>
              <w:rPr>
                <w:sz w:val="16"/>
                <w:szCs w:val="16"/>
              </w:rPr>
            </w:pPr>
            <w:r w:rsidRPr="006A64BA">
              <w:rPr>
                <w:sz w:val="16"/>
                <w:szCs w:val="16"/>
              </w:rPr>
              <w:t>Los proyectos de inversión a ser financiados con los recursos a los que se refieren los incisos 1 y 2 de este parágrafo, serán definidos por un Órgano Colegiado de Administración y Decisión, en el cual tendrán asiento el Gobierno nacional, representado por el Ministro de Hacienda y Crédito Público o su delegado, un (1) representante del organismo nacional de planeación, y un (1) representante del Presidente de la República; el Gobierno departamental representado por dos (2) Gobernadores y el Gobierno municipal, representado por dos (2) alcaldes.</w:t>
            </w:r>
          </w:p>
          <w:p w:rsidR="004B04E6" w:rsidRPr="006A64BA" w:rsidRDefault="004B04E6" w:rsidP="00796562">
            <w:pPr>
              <w:spacing w:before="57" w:after="57"/>
              <w:jc w:val="both"/>
              <w:rPr>
                <w:sz w:val="16"/>
                <w:szCs w:val="16"/>
              </w:rPr>
            </w:pPr>
            <w:r w:rsidRPr="006A64BA">
              <w:rPr>
                <w:sz w:val="16"/>
                <w:szCs w:val="16"/>
              </w:rPr>
              <w:t>Asistirán a este Órgano Colegiado de Administración y Decisión, en calidad de invitados permanentes con voz y sin voto, dos Senadores y dos Representantes a la Cámara.</w:t>
            </w: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rPr>
                <w:sz w:val="16"/>
                <w:szCs w:val="16"/>
              </w:rPr>
            </w:pPr>
            <w:r w:rsidRPr="00B1684B">
              <w:rPr>
                <w:b/>
                <w:sz w:val="16"/>
                <w:szCs w:val="16"/>
              </w:rPr>
              <w:t>PARÁGRAFO 3o. TRANSITORIO.</w:t>
            </w:r>
            <w:r w:rsidRPr="006A64BA">
              <w:rPr>
                <w:sz w:val="16"/>
                <w:szCs w:val="16"/>
              </w:rPr>
              <w:t xml:space="preserve"> Los proyectos de inversión a financiarse con los recursos del Sistema General de Regalías destinados a la implementación del Acuerdo Final para la Terminación del Conflicto y la Construcción de una Paz Estable y Duradera, deberán guardar concordancia con el régimen de planeación vigente, el componente específico para la Paz y la implementación del Plan Plurianual de Inversiones del Plan Nacional de Desarrollo y de los planes de desarrollo de las entidades territoriales. </w:t>
            </w:r>
          </w:p>
          <w:p w:rsidR="004B04E6" w:rsidRDefault="004B04E6" w:rsidP="00796562">
            <w:pPr>
              <w:spacing w:before="57" w:after="57"/>
              <w:jc w:val="both"/>
              <w:rPr>
                <w:sz w:val="16"/>
                <w:szCs w:val="16"/>
              </w:rPr>
            </w:pPr>
          </w:p>
          <w:p w:rsidR="004B04E6" w:rsidRDefault="004B04E6" w:rsidP="00796562">
            <w:pPr>
              <w:spacing w:before="57" w:after="57"/>
              <w:jc w:val="both"/>
            </w:pPr>
            <w:r w:rsidRPr="00B1684B">
              <w:rPr>
                <w:b/>
                <w:sz w:val="16"/>
                <w:szCs w:val="16"/>
              </w:rPr>
              <w:t>PARÁGRAFO 4o. TRANSITORIO.</w:t>
            </w:r>
            <w:r w:rsidRPr="006A64BA">
              <w:rPr>
                <w:sz w:val="16"/>
                <w:szCs w:val="16"/>
              </w:rPr>
              <w:t xml:space="preserve"> &lt;Parágrafo adicionado por el artículo 2 del Acto Legislativo 4 de 2017. El nuevo texto es el siguiente:&gt; Durante los veinte (20) años siguientes a la entrada en vigencia del presente acto legislativo, las entidades beneficiarias cuya apropiación bienal de inversión sea menor a 4.000 salarios mínimos mensuales legales vigentes y que tengan un adecuado desempeño en la gestión de estos recursos, definirán directamente los proyectos de inversión cuando estos tengan como objeto la implementación del Acuerdo Final para la Terminación del Conflicto y la Construcción de una Paz Estable y Duradera, en concordancia con el decreto con fuerza de ley que para el efecto expida el Gobierno nacional en los seis (6) meses siguientes a la entrada en vigencia del presente acto legislativo. Los demás proyectos serán definidos por el Órgano Colegiado de Administración y Decisión respectivo.</w:t>
            </w:r>
          </w:p>
          <w:p w:rsidR="004B04E6" w:rsidRDefault="004B04E6" w:rsidP="00796562">
            <w:pPr>
              <w:spacing w:before="57" w:after="57"/>
              <w:jc w:val="both"/>
            </w:pPr>
          </w:p>
        </w:tc>
        <w:tc>
          <w:tcPr>
            <w:tcW w:w="855" w:type="pct"/>
          </w:tcPr>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r>
              <w:rPr>
                <w:sz w:val="16"/>
                <w:szCs w:val="16"/>
              </w:rPr>
              <w:t xml:space="preserve">a. Se elimina el texto porque el sistema no está sometido a una distribución residual. </w:t>
            </w: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100" w:beforeAutospacing="1" w:after="100" w:afterAutospacing="1"/>
              <w:jc w:val="both"/>
              <w:rPr>
                <w:sz w:val="16"/>
                <w:szCs w:val="16"/>
              </w:rPr>
            </w:pPr>
            <w:r>
              <w:rPr>
                <w:sz w:val="16"/>
                <w:szCs w:val="16"/>
              </w:rPr>
              <w:t>a. Se elimina el texto porque su transitoriedad ya feneció.</w:t>
            </w: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r>
              <w:rPr>
                <w:sz w:val="16"/>
                <w:szCs w:val="16"/>
              </w:rPr>
              <w:t>a. Se elimina el texto porque su transitoriedad ya feneció.</w:t>
            </w: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r>
              <w:rPr>
                <w:sz w:val="16"/>
                <w:szCs w:val="16"/>
              </w:rPr>
              <w:t xml:space="preserve">b. Se elimina el texto porque al momento de entrar en vigencia el presente acto legislativo será a partir del 1ro de enero del 2021. </w:t>
            </w:r>
          </w:p>
          <w:p w:rsidR="004B04E6" w:rsidRDefault="004B04E6" w:rsidP="00796562">
            <w:pPr>
              <w:spacing w:before="100" w:beforeAutospacing="1" w:after="100" w:afterAutospacing="1"/>
              <w:jc w:val="both"/>
              <w:rPr>
                <w:sz w:val="16"/>
                <w:szCs w:val="16"/>
              </w:rPr>
            </w:pPr>
            <w:r>
              <w:rPr>
                <w:sz w:val="16"/>
                <w:szCs w:val="16"/>
              </w:rPr>
              <w:t xml:space="preserve"> </w:t>
            </w: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r>
              <w:rPr>
                <w:sz w:val="16"/>
                <w:szCs w:val="16"/>
              </w:rPr>
              <w:t>a. Se elimina el texto porque su transitoriedad ya feneció.</w:t>
            </w: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r>
              <w:rPr>
                <w:sz w:val="16"/>
                <w:szCs w:val="16"/>
              </w:rPr>
              <w:t>a. Se elimina el texto porque su transitoriedad ya feneció.</w:t>
            </w: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r>
              <w:rPr>
                <w:sz w:val="16"/>
                <w:szCs w:val="16"/>
              </w:rPr>
              <w:t>a. Se elimina el texto porque el gobierno nacional cumplió dentro del término previsto y expidió la ley.</w:t>
            </w: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r>
              <w:rPr>
                <w:sz w:val="16"/>
                <w:szCs w:val="16"/>
              </w:rPr>
              <w:t>a. Se elimina el texto porque ese evento no ocurrió.</w:t>
            </w: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r>
              <w:rPr>
                <w:sz w:val="16"/>
                <w:szCs w:val="16"/>
              </w:rPr>
              <w:t>a. Se elimina el texto porque su transitoriedad ya feneció.</w:t>
            </w: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r>
              <w:rPr>
                <w:sz w:val="16"/>
                <w:szCs w:val="16"/>
              </w:rPr>
              <w:t>a. El parágrafo 7mo transitorio que habla sobre las asignaciones para la PAZ,  pasa a ser ahora a ser el parágrafo 2do transitorio.</w:t>
            </w:r>
          </w:p>
          <w:p w:rsidR="004B04E6" w:rsidRPr="00932479"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r>
              <w:rPr>
                <w:sz w:val="16"/>
                <w:szCs w:val="16"/>
              </w:rPr>
              <w:t>a. Se adiciona el texto para aclarar que la diferencia del 4% del  FAE,  transitoriamente también se invertirá para la PAZ.</w:t>
            </w: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r>
              <w:rPr>
                <w:sz w:val="16"/>
                <w:szCs w:val="16"/>
              </w:rPr>
              <w:t>b. Se elimina el texto porque el sistema no está sometido a una distribución residual.</w:t>
            </w: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r>
              <w:rPr>
                <w:sz w:val="16"/>
                <w:szCs w:val="16"/>
              </w:rPr>
              <w:t>a. Se elimina el texto porque su transitoriedad ya feneció.</w:t>
            </w: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p>
          <w:p w:rsidR="004B04E6" w:rsidRDefault="004B04E6" w:rsidP="00796562">
            <w:pPr>
              <w:spacing w:before="100" w:beforeAutospacing="1" w:after="100" w:afterAutospacing="1"/>
              <w:jc w:val="both"/>
              <w:rPr>
                <w:sz w:val="16"/>
                <w:szCs w:val="16"/>
              </w:rPr>
            </w:pPr>
            <w:r>
              <w:rPr>
                <w:sz w:val="16"/>
                <w:szCs w:val="16"/>
              </w:rPr>
              <w:t>a. Se elimina el texto porque su transitoriedad ya feneció.</w:t>
            </w:r>
          </w:p>
          <w:p w:rsidR="004B04E6" w:rsidRDefault="004B04E6" w:rsidP="00796562">
            <w:pPr>
              <w:spacing w:before="57" w:after="57"/>
              <w:jc w:val="both"/>
            </w:pPr>
          </w:p>
          <w:p w:rsidR="004B04E6" w:rsidRDefault="004B04E6" w:rsidP="00796562">
            <w:pPr>
              <w:spacing w:before="57" w:after="57"/>
              <w:jc w:val="both"/>
            </w:pPr>
          </w:p>
          <w:p w:rsidR="004B04E6" w:rsidRDefault="004B04E6" w:rsidP="00796562">
            <w:pPr>
              <w:spacing w:before="100" w:beforeAutospacing="1" w:after="100" w:afterAutospacing="1"/>
              <w:jc w:val="both"/>
              <w:rPr>
                <w:sz w:val="16"/>
                <w:szCs w:val="16"/>
              </w:rPr>
            </w:pPr>
            <w:r>
              <w:rPr>
                <w:sz w:val="16"/>
                <w:szCs w:val="16"/>
              </w:rPr>
              <w:t>a. Se elimina el texto porque su transitoriedad ya feneció.</w:t>
            </w:r>
          </w:p>
          <w:p w:rsidR="004B04E6" w:rsidRDefault="004B04E6" w:rsidP="00796562">
            <w:pPr>
              <w:spacing w:before="57" w:after="57"/>
              <w:jc w:val="both"/>
            </w:pPr>
          </w:p>
          <w:p w:rsidR="004B04E6" w:rsidRDefault="004B04E6" w:rsidP="00796562">
            <w:pPr>
              <w:spacing w:before="100" w:beforeAutospacing="1" w:after="100" w:afterAutospacing="1"/>
              <w:jc w:val="both"/>
              <w:rPr>
                <w:sz w:val="16"/>
                <w:szCs w:val="16"/>
              </w:rPr>
            </w:pPr>
            <w:r>
              <w:rPr>
                <w:sz w:val="16"/>
                <w:szCs w:val="16"/>
              </w:rPr>
              <w:t>b. Se elimina el texto porque su transitoriedad ya feneció.</w:t>
            </w:r>
          </w:p>
          <w:p w:rsidR="004B04E6" w:rsidRDefault="004B04E6" w:rsidP="00796562">
            <w:pPr>
              <w:spacing w:before="100" w:beforeAutospacing="1" w:after="100" w:afterAutospacing="1"/>
              <w:jc w:val="both"/>
              <w:rPr>
                <w:sz w:val="16"/>
                <w:szCs w:val="16"/>
              </w:rPr>
            </w:pPr>
          </w:p>
          <w:p w:rsidR="004B04E6" w:rsidRDefault="004B04E6" w:rsidP="00796562">
            <w:pPr>
              <w:spacing w:before="57" w:after="57"/>
              <w:jc w:val="both"/>
              <w:rPr>
                <w:sz w:val="16"/>
                <w:szCs w:val="16"/>
              </w:rPr>
            </w:pPr>
            <w:r>
              <w:rPr>
                <w:sz w:val="16"/>
                <w:szCs w:val="16"/>
              </w:rPr>
              <w:t>a. El parágrafo 9no transitorio que habla sobre las asignaciones para la PAZ,  pasa a ser ahora a ser el parágrafo 3do transitorio.</w:t>
            </w: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rPr>
                <w:sz w:val="16"/>
                <w:szCs w:val="16"/>
              </w:rPr>
            </w:pPr>
          </w:p>
          <w:p w:rsidR="004B04E6" w:rsidRDefault="004B04E6" w:rsidP="00796562">
            <w:pPr>
              <w:spacing w:before="57" w:after="57"/>
              <w:jc w:val="both"/>
            </w:pPr>
            <w:r>
              <w:rPr>
                <w:sz w:val="16"/>
                <w:szCs w:val="16"/>
              </w:rPr>
              <w:t>a. El parágrafo 10o transitorio que habla sobre las asignaciones para la PAZ,  pasa a ser ahora a ser el parágrafo 4o transitorio.</w:t>
            </w:r>
          </w:p>
        </w:tc>
      </w:tr>
    </w:tbl>
    <w:p w:rsidR="004B04E6" w:rsidRDefault="004B04E6" w:rsidP="004B04E6">
      <w:pPr>
        <w:spacing w:before="57" w:after="57"/>
        <w:jc w:val="both"/>
      </w:pPr>
    </w:p>
    <w:p w:rsidR="004B04E6" w:rsidRPr="001B4B14" w:rsidRDefault="004B04E6" w:rsidP="004B04E6">
      <w:pPr>
        <w:tabs>
          <w:tab w:val="left" w:pos="598"/>
        </w:tabs>
        <w:adjustRightInd w:val="0"/>
        <w:spacing w:after="0" w:line="240" w:lineRule="auto"/>
        <w:jc w:val="both"/>
        <w:textAlignment w:val="center"/>
        <w:rPr>
          <w:rFonts w:ascii="Arial Narrow" w:eastAsia="Times New Roman" w:hAnsi="Arial Narrow" w:cs="Arial"/>
          <w:b/>
          <w:bCs/>
          <w:lang w:val="es-ES_tradnl" w:eastAsia="es-CO"/>
        </w:rPr>
      </w:pPr>
      <w:r w:rsidRPr="001B4B14">
        <w:rPr>
          <w:rFonts w:ascii="Arial Narrow" w:eastAsia="Times New Roman" w:hAnsi="Arial Narrow" w:cs="Arial"/>
          <w:b/>
          <w:bCs/>
          <w:lang w:val="es-ES_tradnl" w:eastAsia="es-CO"/>
        </w:rPr>
        <w:t>Tabla No 11. Presupuesto Bienio 201</w:t>
      </w:r>
      <w:r>
        <w:rPr>
          <w:rFonts w:ascii="Arial Narrow" w:eastAsia="Times New Roman" w:hAnsi="Arial Narrow" w:cs="Arial"/>
          <w:b/>
          <w:bCs/>
          <w:lang w:val="es-ES_tradnl" w:eastAsia="es-CO"/>
        </w:rPr>
        <w:t>9</w:t>
      </w:r>
      <w:r w:rsidRPr="001B4B14">
        <w:rPr>
          <w:rFonts w:ascii="Arial Narrow" w:eastAsia="Times New Roman" w:hAnsi="Arial Narrow" w:cs="Arial"/>
          <w:b/>
          <w:bCs/>
          <w:lang w:val="es-ES_tradnl" w:eastAsia="es-CO"/>
        </w:rPr>
        <w:t>-20</w:t>
      </w:r>
      <w:r>
        <w:rPr>
          <w:rFonts w:ascii="Arial Narrow" w:eastAsia="Times New Roman" w:hAnsi="Arial Narrow" w:cs="Arial"/>
          <w:b/>
          <w:bCs/>
          <w:lang w:val="es-ES_tradnl" w:eastAsia="es-CO"/>
        </w:rPr>
        <w:t>20</w:t>
      </w:r>
      <w:r w:rsidRPr="001B4B14">
        <w:rPr>
          <w:rFonts w:ascii="Arial Narrow" w:eastAsia="Times New Roman" w:hAnsi="Arial Narrow" w:cs="Arial"/>
          <w:b/>
          <w:bCs/>
          <w:lang w:val="es-ES_tradnl" w:eastAsia="es-CO"/>
        </w:rPr>
        <w:t xml:space="preserve"> (Actual Vs Propuesta)</w:t>
      </w:r>
    </w:p>
    <w:p w:rsidR="004B04E6" w:rsidRPr="001B4B14" w:rsidRDefault="004B04E6" w:rsidP="004B04E6">
      <w:pPr>
        <w:tabs>
          <w:tab w:val="left" w:pos="598"/>
        </w:tabs>
        <w:adjustRightInd w:val="0"/>
        <w:spacing w:after="0" w:line="240" w:lineRule="auto"/>
        <w:jc w:val="both"/>
        <w:textAlignment w:val="center"/>
        <w:rPr>
          <w:rFonts w:ascii="Arial Narrow" w:eastAsia="Times New Roman" w:hAnsi="Arial Narrow" w:cs="Arial"/>
          <w:bCs/>
          <w:lang w:val="es-ES_tradnl" w:eastAsia="es-CO"/>
        </w:rPr>
      </w:pPr>
      <w:r w:rsidRPr="001B4B14">
        <w:rPr>
          <w:rFonts w:ascii="Arial Narrow" w:eastAsia="Times New Roman" w:hAnsi="Arial Narrow" w:cs="Arial"/>
          <w:bCs/>
          <w:lang w:val="es-ES_tradnl" w:eastAsia="es-CO"/>
        </w:rPr>
        <w:t>Fuente: Cálculos Propios</w:t>
      </w:r>
    </w:p>
    <w:p w:rsidR="004B04E6" w:rsidRDefault="004B04E6" w:rsidP="004B04E6">
      <w:pPr>
        <w:tabs>
          <w:tab w:val="left" w:pos="598"/>
        </w:tabs>
        <w:adjustRightInd w:val="0"/>
        <w:spacing w:after="0" w:line="240" w:lineRule="auto"/>
        <w:jc w:val="both"/>
        <w:textAlignment w:val="center"/>
        <w:rPr>
          <w:rFonts w:ascii="Arial Narrow" w:eastAsia="Times New Roman" w:hAnsi="Arial Narrow" w:cs="Arial"/>
          <w:bCs/>
          <w:lang w:val="es-ES_tradnl" w:eastAsia="es-CO"/>
        </w:rPr>
      </w:pPr>
    </w:p>
    <w:p w:rsidR="004B04E6" w:rsidRDefault="004B04E6" w:rsidP="004B04E6">
      <w:pPr>
        <w:tabs>
          <w:tab w:val="left" w:pos="598"/>
        </w:tabs>
        <w:adjustRightInd w:val="0"/>
        <w:spacing w:after="0" w:line="240" w:lineRule="auto"/>
        <w:jc w:val="both"/>
        <w:textAlignment w:val="center"/>
        <w:rPr>
          <w:rFonts w:ascii="Arial Narrow" w:eastAsia="Times New Roman" w:hAnsi="Arial Narrow" w:cs="Arial"/>
          <w:bCs/>
          <w:lang w:val="es-ES_tradnl" w:eastAsia="es-CO"/>
        </w:rPr>
      </w:pPr>
      <w:r w:rsidRPr="00DB43BC">
        <w:rPr>
          <w:noProof/>
          <w:lang w:eastAsia="es-CO"/>
        </w:rPr>
        <w:drawing>
          <wp:inline distT="0" distB="0" distL="0" distR="0" wp14:anchorId="18DC0009" wp14:editId="4AFA2B17">
            <wp:extent cx="5612130" cy="4093471"/>
            <wp:effectExtent l="0" t="0" r="762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2130" cy="4093471"/>
                    </a:xfrm>
                    <a:prstGeom prst="rect">
                      <a:avLst/>
                    </a:prstGeom>
                    <a:noFill/>
                    <a:ln>
                      <a:noFill/>
                    </a:ln>
                  </pic:spPr>
                </pic:pic>
              </a:graphicData>
            </a:graphic>
          </wp:inline>
        </w:drawing>
      </w:r>
    </w:p>
    <w:p w:rsidR="004B04E6" w:rsidRDefault="004B04E6" w:rsidP="004B04E6">
      <w:pPr>
        <w:tabs>
          <w:tab w:val="left" w:pos="598"/>
        </w:tabs>
        <w:adjustRightInd w:val="0"/>
        <w:spacing w:after="0" w:line="240" w:lineRule="auto"/>
        <w:jc w:val="both"/>
        <w:textAlignment w:val="center"/>
        <w:rPr>
          <w:rFonts w:ascii="Arial Narrow" w:eastAsia="Times New Roman" w:hAnsi="Arial Narrow" w:cs="Arial"/>
          <w:bCs/>
          <w:lang w:val="es-ES_tradnl" w:eastAsia="es-CO"/>
        </w:rPr>
      </w:pPr>
    </w:p>
    <w:p w:rsidR="004B04E6" w:rsidRDefault="004B04E6" w:rsidP="004B04E6">
      <w:pPr>
        <w:tabs>
          <w:tab w:val="left" w:pos="598"/>
        </w:tabs>
        <w:adjustRightInd w:val="0"/>
        <w:spacing w:after="0" w:line="240" w:lineRule="auto"/>
        <w:jc w:val="both"/>
        <w:textAlignment w:val="center"/>
        <w:rPr>
          <w:rFonts w:ascii="Arial Narrow" w:eastAsia="Times New Roman" w:hAnsi="Arial Narrow" w:cs="Arial"/>
          <w:bCs/>
          <w:lang w:val="es-ES_tradnl" w:eastAsia="es-CO"/>
        </w:rPr>
      </w:pPr>
    </w:p>
    <w:p w:rsidR="004B04E6" w:rsidRPr="001B4B14" w:rsidRDefault="004B04E6" w:rsidP="004B04E6">
      <w:pPr>
        <w:tabs>
          <w:tab w:val="left" w:pos="598"/>
        </w:tabs>
        <w:adjustRightInd w:val="0"/>
        <w:spacing w:after="0" w:line="240" w:lineRule="auto"/>
        <w:jc w:val="both"/>
        <w:textAlignment w:val="center"/>
        <w:rPr>
          <w:rFonts w:ascii="Arial Narrow" w:eastAsia="Times New Roman" w:hAnsi="Arial Narrow" w:cs="Arial"/>
          <w:bCs/>
          <w:sz w:val="24"/>
          <w:szCs w:val="24"/>
          <w:lang w:val="es-ES_tradnl" w:eastAsia="es-CO"/>
        </w:rPr>
      </w:pPr>
      <w:r w:rsidRPr="001B4B14">
        <w:rPr>
          <w:rFonts w:ascii="Arial Narrow" w:eastAsia="Times New Roman" w:hAnsi="Arial Narrow" w:cs="Arial"/>
          <w:bCs/>
          <w:lang w:val="es-ES_tradnl" w:eastAsia="es-CO"/>
        </w:rPr>
        <w:t xml:space="preserve">En esa medida y de acuerdo a lo anteriormente expuesto, la nueva distribución si le estaría garantizando </w:t>
      </w:r>
      <w:r w:rsidRPr="001B4B14">
        <w:rPr>
          <w:rFonts w:ascii="Arial Narrow" w:eastAsia="Times New Roman" w:hAnsi="Arial Narrow" w:cs="Arial"/>
          <w:bCs/>
          <w:sz w:val="24"/>
          <w:szCs w:val="24"/>
          <w:lang w:val="es-ES_tradnl" w:eastAsia="es-CO"/>
        </w:rPr>
        <w:t>equidad a las regiones productoras que fue el precepto con el que se dio la modificación que nos tienen hoy en la presente discusión y se estaría confirmando la teoría que “La justicia de todos no puede basarse en la injusticia de unos pocos”</w:t>
      </w:r>
    </w:p>
    <w:p w:rsidR="004B04E6" w:rsidRPr="001B4B14" w:rsidRDefault="004B04E6" w:rsidP="004B04E6">
      <w:pPr>
        <w:pStyle w:val="NormalWeb"/>
        <w:spacing w:before="0" w:beforeAutospacing="0" w:after="0" w:afterAutospacing="0"/>
        <w:jc w:val="both"/>
        <w:rPr>
          <w:rFonts w:ascii="Arial Narrow" w:hAnsi="Arial Narrow"/>
        </w:rPr>
      </w:pPr>
    </w:p>
    <w:p w:rsidR="004B04E6" w:rsidRDefault="004B04E6" w:rsidP="004B04E6">
      <w:pPr>
        <w:pStyle w:val="NormalWeb"/>
        <w:spacing w:before="0" w:beforeAutospacing="0" w:after="0" w:afterAutospacing="0"/>
        <w:jc w:val="both"/>
        <w:rPr>
          <w:rFonts w:ascii="Arial Narrow" w:hAnsi="Arial Narrow"/>
        </w:rPr>
      </w:pPr>
    </w:p>
    <w:p w:rsidR="004B04E6" w:rsidRDefault="004B04E6" w:rsidP="004B04E6">
      <w:pPr>
        <w:pStyle w:val="NormalWeb"/>
        <w:spacing w:before="0" w:beforeAutospacing="0" w:after="0" w:afterAutospacing="0"/>
        <w:jc w:val="both"/>
        <w:rPr>
          <w:rFonts w:ascii="Arial Narrow" w:hAnsi="Arial Narrow"/>
        </w:rPr>
      </w:pPr>
    </w:p>
    <w:p w:rsidR="004B04E6" w:rsidRPr="001B4B14" w:rsidRDefault="004B04E6" w:rsidP="004B04E6">
      <w:pPr>
        <w:pStyle w:val="NormalWeb"/>
        <w:spacing w:before="0" w:beforeAutospacing="0" w:after="0" w:afterAutospacing="0"/>
        <w:jc w:val="both"/>
        <w:rPr>
          <w:rFonts w:ascii="Arial Narrow" w:hAnsi="Arial Narrow"/>
        </w:rPr>
      </w:pPr>
    </w:p>
    <w:p w:rsidR="004B04E6" w:rsidRPr="001B4B14" w:rsidRDefault="004B04E6" w:rsidP="004B04E6">
      <w:pPr>
        <w:spacing w:after="0" w:line="240" w:lineRule="auto"/>
        <w:rPr>
          <w:rFonts w:ascii="Arial Narrow" w:hAnsi="Arial Narrow" w:cs="Arial"/>
          <w:b/>
          <w:sz w:val="24"/>
          <w:szCs w:val="24"/>
          <w:lang w:val="es-ES"/>
        </w:rPr>
      </w:pPr>
    </w:p>
    <w:p w:rsidR="004B04E6" w:rsidRPr="00327F5A" w:rsidRDefault="004B04E6" w:rsidP="004B04E6">
      <w:pPr>
        <w:spacing w:after="0"/>
        <w:rPr>
          <w:rFonts w:ascii="Arial" w:hAnsi="Arial" w:cs="Arial"/>
          <w:b/>
          <w:sz w:val="28"/>
          <w:szCs w:val="28"/>
        </w:rPr>
      </w:pPr>
      <w:r w:rsidRPr="00327F5A">
        <w:rPr>
          <w:rFonts w:ascii="Arial" w:hAnsi="Arial" w:cs="Arial"/>
          <w:b/>
          <w:sz w:val="28"/>
          <w:szCs w:val="28"/>
        </w:rPr>
        <w:t xml:space="preserve">César Ortiz Zorro </w:t>
      </w:r>
      <w:r>
        <w:rPr>
          <w:rFonts w:ascii="Arial" w:hAnsi="Arial" w:cs="Arial"/>
          <w:b/>
          <w:sz w:val="28"/>
          <w:szCs w:val="28"/>
        </w:rPr>
        <w:t xml:space="preserve">                                       Angélica Lozano </w:t>
      </w:r>
    </w:p>
    <w:p w:rsidR="004B04E6" w:rsidRPr="00327F5A" w:rsidRDefault="004B04E6" w:rsidP="004B04E6">
      <w:pPr>
        <w:spacing w:after="0"/>
        <w:rPr>
          <w:rFonts w:ascii="Arial" w:hAnsi="Arial" w:cs="Arial"/>
          <w:sz w:val="28"/>
          <w:szCs w:val="28"/>
        </w:rPr>
      </w:pPr>
      <w:r w:rsidRPr="00327F5A">
        <w:rPr>
          <w:rFonts w:ascii="Arial" w:hAnsi="Arial" w:cs="Arial"/>
          <w:sz w:val="28"/>
          <w:szCs w:val="28"/>
        </w:rPr>
        <w:t>Representante a la Cámara</w:t>
      </w:r>
      <w:r>
        <w:rPr>
          <w:rFonts w:ascii="Arial" w:hAnsi="Arial" w:cs="Arial"/>
          <w:sz w:val="28"/>
          <w:szCs w:val="28"/>
        </w:rPr>
        <w:t xml:space="preserve">                         Senadora de la República                               </w:t>
      </w:r>
    </w:p>
    <w:p w:rsidR="004B04E6" w:rsidRDefault="004B04E6" w:rsidP="004B04E6">
      <w:pPr>
        <w:spacing w:after="0"/>
        <w:rPr>
          <w:rFonts w:ascii="Arial" w:hAnsi="Arial" w:cs="Arial"/>
          <w:sz w:val="28"/>
          <w:szCs w:val="28"/>
        </w:rPr>
      </w:pPr>
      <w:r w:rsidRPr="00327F5A">
        <w:rPr>
          <w:rFonts w:ascii="Arial" w:hAnsi="Arial" w:cs="Arial"/>
          <w:sz w:val="28"/>
          <w:szCs w:val="28"/>
        </w:rPr>
        <w:t xml:space="preserve">Alianza Verde </w:t>
      </w:r>
      <w:r>
        <w:rPr>
          <w:rFonts w:ascii="Arial" w:hAnsi="Arial" w:cs="Arial"/>
          <w:sz w:val="28"/>
          <w:szCs w:val="28"/>
        </w:rPr>
        <w:t xml:space="preserve">                                              </w:t>
      </w:r>
      <w:r w:rsidRPr="00327F5A">
        <w:rPr>
          <w:rFonts w:ascii="Arial" w:hAnsi="Arial" w:cs="Arial"/>
          <w:sz w:val="28"/>
          <w:szCs w:val="28"/>
        </w:rPr>
        <w:t xml:space="preserve">Alianza Verde </w:t>
      </w:r>
      <w:r>
        <w:rPr>
          <w:rFonts w:ascii="Arial" w:hAnsi="Arial" w:cs="Arial"/>
          <w:sz w:val="28"/>
          <w:szCs w:val="28"/>
        </w:rPr>
        <w:t xml:space="preserve"> </w:t>
      </w: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Pr="00327F5A" w:rsidRDefault="004B04E6" w:rsidP="004B04E6">
      <w:pPr>
        <w:spacing w:after="0"/>
        <w:rPr>
          <w:rFonts w:ascii="Arial" w:hAnsi="Arial" w:cs="Arial"/>
          <w:b/>
          <w:sz w:val="28"/>
          <w:szCs w:val="28"/>
        </w:rPr>
      </w:pPr>
      <w:r>
        <w:rPr>
          <w:rFonts w:ascii="Arial" w:hAnsi="Arial" w:cs="Arial"/>
          <w:b/>
          <w:sz w:val="28"/>
          <w:szCs w:val="28"/>
        </w:rPr>
        <w:t xml:space="preserve">Fabián Diaz         </w:t>
      </w:r>
      <w:r w:rsidRPr="00327F5A">
        <w:rPr>
          <w:rFonts w:ascii="Arial" w:hAnsi="Arial" w:cs="Arial"/>
          <w:b/>
          <w:sz w:val="28"/>
          <w:szCs w:val="28"/>
        </w:rPr>
        <w:t xml:space="preserve"> </w:t>
      </w:r>
      <w:r>
        <w:rPr>
          <w:rFonts w:ascii="Arial" w:hAnsi="Arial" w:cs="Arial"/>
          <w:b/>
          <w:sz w:val="28"/>
          <w:szCs w:val="28"/>
        </w:rPr>
        <w:t xml:space="preserve">                                       Jorge Londoño </w:t>
      </w:r>
    </w:p>
    <w:p w:rsidR="004B04E6" w:rsidRPr="00327F5A" w:rsidRDefault="004B04E6" w:rsidP="004B04E6">
      <w:pPr>
        <w:spacing w:after="0"/>
        <w:rPr>
          <w:rFonts w:ascii="Arial" w:hAnsi="Arial" w:cs="Arial"/>
          <w:sz w:val="28"/>
          <w:szCs w:val="28"/>
        </w:rPr>
      </w:pPr>
      <w:r w:rsidRPr="00327F5A">
        <w:rPr>
          <w:rFonts w:ascii="Arial" w:hAnsi="Arial" w:cs="Arial"/>
          <w:sz w:val="28"/>
          <w:szCs w:val="28"/>
        </w:rPr>
        <w:t>Representante a la Cámara</w:t>
      </w:r>
      <w:r>
        <w:rPr>
          <w:rFonts w:ascii="Arial" w:hAnsi="Arial" w:cs="Arial"/>
          <w:sz w:val="28"/>
          <w:szCs w:val="28"/>
        </w:rPr>
        <w:t xml:space="preserve">                         Senador de la República                               </w:t>
      </w:r>
    </w:p>
    <w:p w:rsidR="004B04E6" w:rsidRDefault="004B04E6" w:rsidP="004B04E6">
      <w:pPr>
        <w:spacing w:after="0"/>
        <w:rPr>
          <w:rFonts w:ascii="Arial" w:hAnsi="Arial" w:cs="Arial"/>
          <w:sz w:val="28"/>
          <w:szCs w:val="28"/>
        </w:rPr>
      </w:pPr>
      <w:r w:rsidRPr="00327F5A">
        <w:rPr>
          <w:rFonts w:ascii="Arial" w:hAnsi="Arial" w:cs="Arial"/>
          <w:sz w:val="28"/>
          <w:szCs w:val="28"/>
        </w:rPr>
        <w:t xml:space="preserve">Alianza Verde </w:t>
      </w:r>
      <w:r>
        <w:rPr>
          <w:rFonts w:ascii="Arial" w:hAnsi="Arial" w:cs="Arial"/>
          <w:sz w:val="28"/>
          <w:szCs w:val="28"/>
        </w:rPr>
        <w:t xml:space="preserve">                                             </w:t>
      </w:r>
      <w:r w:rsidRPr="00327F5A">
        <w:rPr>
          <w:rFonts w:ascii="Arial" w:hAnsi="Arial" w:cs="Arial"/>
          <w:sz w:val="28"/>
          <w:szCs w:val="28"/>
        </w:rPr>
        <w:t xml:space="preserve">Alianza Verde </w:t>
      </w:r>
      <w:r>
        <w:rPr>
          <w:rFonts w:ascii="Arial" w:hAnsi="Arial" w:cs="Arial"/>
          <w:sz w:val="28"/>
          <w:szCs w:val="28"/>
        </w:rPr>
        <w:t xml:space="preserve"> </w:t>
      </w: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Pr="00327F5A" w:rsidRDefault="004B04E6" w:rsidP="004B04E6">
      <w:pPr>
        <w:spacing w:after="0"/>
        <w:rPr>
          <w:rFonts w:ascii="Arial" w:hAnsi="Arial" w:cs="Arial"/>
          <w:b/>
          <w:sz w:val="28"/>
          <w:szCs w:val="28"/>
        </w:rPr>
      </w:pPr>
      <w:r>
        <w:rPr>
          <w:rFonts w:ascii="Arial" w:hAnsi="Arial" w:cs="Arial"/>
          <w:b/>
          <w:sz w:val="28"/>
          <w:szCs w:val="28"/>
        </w:rPr>
        <w:t xml:space="preserve">José Polo         </w:t>
      </w:r>
      <w:r w:rsidRPr="00327F5A">
        <w:rPr>
          <w:rFonts w:ascii="Arial" w:hAnsi="Arial" w:cs="Arial"/>
          <w:b/>
          <w:sz w:val="28"/>
          <w:szCs w:val="28"/>
        </w:rPr>
        <w:t xml:space="preserve"> </w:t>
      </w:r>
      <w:r>
        <w:rPr>
          <w:rFonts w:ascii="Arial" w:hAnsi="Arial" w:cs="Arial"/>
          <w:b/>
          <w:sz w:val="28"/>
          <w:szCs w:val="28"/>
        </w:rPr>
        <w:t xml:space="preserve">                                         Iván Marulanda</w:t>
      </w:r>
    </w:p>
    <w:p w:rsidR="004B04E6" w:rsidRPr="00327F5A" w:rsidRDefault="004B04E6" w:rsidP="004B04E6">
      <w:pPr>
        <w:spacing w:after="0"/>
        <w:rPr>
          <w:rFonts w:ascii="Arial" w:hAnsi="Arial" w:cs="Arial"/>
          <w:sz w:val="28"/>
          <w:szCs w:val="28"/>
        </w:rPr>
      </w:pPr>
      <w:r>
        <w:rPr>
          <w:rFonts w:ascii="Arial" w:hAnsi="Arial" w:cs="Arial"/>
          <w:sz w:val="28"/>
          <w:szCs w:val="28"/>
        </w:rPr>
        <w:t xml:space="preserve">Senador de la República   </w:t>
      </w:r>
      <w:r>
        <w:rPr>
          <w:rFonts w:ascii="Arial" w:hAnsi="Arial" w:cs="Arial"/>
          <w:sz w:val="28"/>
          <w:szCs w:val="28"/>
        </w:rPr>
        <w:tab/>
      </w:r>
      <w:r>
        <w:rPr>
          <w:rFonts w:ascii="Arial" w:hAnsi="Arial" w:cs="Arial"/>
          <w:sz w:val="28"/>
          <w:szCs w:val="28"/>
        </w:rPr>
        <w:tab/>
      </w:r>
      <w:r>
        <w:rPr>
          <w:rFonts w:ascii="Arial" w:hAnsi="Arial" w:cs="Arial"/>
          <w:sz w:val="28"/>
          <w:szCs w:val="28"/>
        </w:rPr>
        <w:tab/>
        <w:t xml:space="preserve">     Senador de la República                               </w:t>
      </w:r>
    </w:p>
    <w:p w:rsidR="004B04E6" w:rsidRDefault="004B04E6" w:rsidP="004B04E6">
      <w:pPr>
        <w:spacing w:after="0"/>
        <w:rPr>
          <w:rFonts w:ascii="Arial" w:hAnsi="Arial" w:cs="Arial"/>
          <w:sz w:val="28"/>
          <w:szCs w:val="28"/>
        </w:rPr>
      </w:pPr>
      <w:r w:rsidRPr="00327F5A">
        <w:rPr>
          <w:rFonts w:ascii="Arial" w:hAnsi="Arial" w:cs="Arial"/>
          <w:sz w:val="28"/>
          <w:szCs w:val="28"/>
        </w:rPr>
        <w:t xml:space="preserve">Alianza Verde </w:t>
      </w:r>
      <w:r>
        <w:rPr>
          <w:rFonts w:ascii="Arial" w:hAnsi="Arial" w:cs="Arial"/>
          <w:sz w:val="28"/>
          <w:szCs w:val="28"/>
        </w:rPr>
        <w:t xml:space="preserve">                                             </w:t>
      </w:r>
      <w:r w:rsidRPr="00327F5A">
        <w:rPr>
          <w:rFonts w:ascii="Arial" w:hAnsi="Arial" w:cs="Arial"/>
          <w:sz w:val="28"/>
          <w:szCs w:val="28"/>
        </w:rPr>
        <w:t xml:space="preserve">Alianza Verde </w:t>
      </w:r>
      <w:r>
        <w:rPr>
          <w:rFonts w:ascii="Arial" w:hAnsi="Arial" w:cs="Arial"/>
          <w:sz w:val="28"/>
          <w:szCs w:val="28"/>
        </w:rPr>
        <w:t xml:space="preserve"> </w:t>
      </w: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Pr="00327F5A" w:rsidRDefault="004B04E6" w:rsidP="004B04E6">
      <w:pPr>
        <w:spacing w:after="0"/>
        <w:rPr>
          <w:rFonts w:ascii="Arial" w:hAnsi="Arial" w:cs="Arial"/>
          <w:b/>
          <w:sz w:val="28"/>
          <w:szCs w:val="28"/>
        </w:rPr>
      </w:pPr>
      <w:r>
        <w:rPr>
          <w:rFonts w:ascii="Arial" w:hAnsi="Arial" w:cs="Arial"/>
          <w:b/>
          <w:sz w:val="28"/>
          <w:szCs w:val="28"/>
        </w:rPr>
        <w:t xml:space="preserve">Antonio Sanguino         </w:t>
      </w:r>
      <w:r w:rsidRPr="00327F5A">
        <w:rPr>
          <w:rFonts w:ascii="Arial" w:hAnsi="Arial" w:cs="Arial"/>
          <w:b/>
          <w:sz w:val="28"/>
          <w:szCs w:val="28"/>
        </w:rPr>
        <w:t xml:space="preserve"> </w:t>
      </w:r>
      <w:r>
        <w:rPr>
          <w:rFonts w:ascii="Arial" w:hAnsi="Arial" w:cs="Arial"/>
          <w:b/>
          <w:sz w:val="28"/>
          <w:szCs w:val="28"/>
        </w:rPr>
        <w:t xml:space="preserve">                            Iván Name</w:t>
      </w:r>
    </w:p>
    <w:p w:rsidR="004B04E6" w:rsidRPr="00327F5A" w:rsidRDefault="004B04E6" w:rsidP="004B04E6">
      <w:pPr>
        <w:spacing w:after="0"/>
        <w:rPr>
          <w:rFonts w:ascii="Arial" w:hAnsi="Arial" w:cs="Arial"/>
          <w:sz w:val="28"/>
          <w:szCs w:val="28"/>
        </w:rPr>
      </w:pPr>
      <w:r>
        <w:rPr>
          <w:rFonts w:ascii="Arial" w:hAnsi="Arial" w:cs="Arial"/>
          <w:sz w:val="28"/>
          <w:szCs w:val="28"/>
        </w:rPr>
        <w:t xml:space="preserve">Senador de la República   </w:t>
      </w:r>
      <w:r>
        <w:rPr>
          <w:rFonts w:ascii="Arial" w:hAnsi="Arial" w:cs="Arial"/>
          <w:sz w:val="28"/>
          <w:szCs w:val="28"/>
        </w:rPr>
        <w:tab/>
      </w:r>
      <w:r>
        <w:rPr>
          <w:rFonts w:ascii="Arial" w:hAnsi="Arial" w:cs="Arial"/>
          <w:sz w:val="28"/>
          <w:szCs w:val="28"/>
        </w:rPr>
        <w:tab/>
      </w:r>
      <w:r>
        <w:rPr>
          <w:rFonts w:ascii="Arial" w:hAnsi="Arial" w:cs="Arial"/>
          <w:sz w:val="28"/>
          <w:szCs w:val="28"/>
        </w:rPr>
        <w:tab/>
        <w:t xml:space="preserve">     Senador de la República                               </w:t>
      </w:r>
    </w:p>
    <w:p w:rsidR="004B04E6" w:rsidRDefault="004B04E6" w:rsidP="004B04E6">
      <w:pPr>
        <w:spacing w:after="0"/>
        <w:rPr>
          <w:rFonts w:ascii="Arial" w:hAnsi="Arial" w:cs="Arial"/>
          <w:sz w:val="28"/>
          <w:szCs w:val="28"/>
        </w:rPr>
      </w:pPr>
      <w:r w:rsidRPr="00327F5A">
        <w:rPr>
          <w:rFonts w:ascii="Arial" w:hAnsi="Arial" w:cs="Arial"/>
          <w:sz w:val="28"/>
          <w:szCs w:val="28"/>
        </w:rPr>
        <w:t xml:space="preserve">Alianza Verde </w:t>
      </w:r>
      <w:r>
        <w:rPr>
          <w:rFonts w:ascii="Arial" w:hAnsi="Arial" w:cs="Arial"/>
          <w:sz w:val="28"/>
          <w:szCs w:val="28"/>
        </w:rPr>
        <w:t xml:space="preserve">                                             </w:t>
      </w:r>
      <w:r w:rsidRPr="00327F5A">
        <w:rPr>
          <w:rFonts w:ascii="Arial" w:hAnsi="Arial" w:cs="Arial"/>
          <w:sz w:val="28"/>
          <w:szCs w:val="28"/>
        </w:rPr>
        <w:t xml:space="preserve">Alianza Verde </w:t>
      </w:r>
      <w:r>
        <w:rPr>
          <w:rFonts w:ascii="Arial" w:hAnsi="Arial" w:cs="Arial"/>
          <w:sz w:val="28"/>
          <w:szCs w:val="28"/>
        </w:rPr>
        <w:t xml:space="preserve"> </w:t>
      </w: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Pr="00327F5A" w:rsidRDefault="004B04E6" w:rsidP="004B04E6">
      <w:pPr>
        <w:spacing w:after="0"/>
        <w:rPr>
          <w:rFonts w:ascii="Arial" w:hAnsi="Arial" w:cs="Arial"/>
          <w:b/>
          <w:sz w:val="28"/>
          <w:szCs w:val="28"/>
        </w:rPr>
      </w:pPr>
      <w:r>
        <w:rPr>
          <w:rFonts w:ascii="Arial" w:hAnsi="Arial" w:cs="Arial"/>
          <w:b/>
          <w:sz w:val="28"/>
          <w:szCs w:val="28"/>
        </w:rPr>
        <w:t xml:space="preserve">Catalina Ortiz         </w:t>
      </w:r>
      <w:r w:rsidRPr="00327F5A">
        <w:rPr>
          <w:rFonts w:ascii="Arial" w:hAnsi="Arial" w:cs="Arial"/>
          <w:b/>
          <w:sz w:val="28"/>
          <w:szCs w:val="28"/>
        </w:rPr>
        <w:t xml:space="preserve"> </w:t>
      </w:r>
      <w:r>
        <w:rPr>
          <w:rFonts w:ascii="Arial" w:hAnsi="Arial" w:cs="Arial"/>
          <w:b/>
          <w:sz w:val="28"/>
          <w:szCs w:val="28"/>
        </w:rPr>
        <w:t xml:space="preserve">                                    Sandra Ortiz</w:t>
      </w:r>
    </w:p>
    <w:p w:rsidR="004B04E6" w:rsidRPr="00327F5A" w:rsidRDefault="004B04E6" w:rsidP="004B04E6">
      <w:pPr>
        <w:spacing w:after="0"/>
        <w:rPr>
          <w:rFonts w:ascii="Arial" w:hAnsi="Arial" w:cs="Arial"/>
          <w:sz w:val="28"/>
          <w:szCs w:val="28"/>
        </w:rPr>
      </w:pPr>
      <w:r w:rsidRPr="00327F5A">
        <w:rPr>
          <w:rFonts w:ascii="Arial" w:hAnsi="Arial" w:cs="Arial"/>
          <w:sz w:val="28"/>
          <w:szCs w:val="28"/>
        </w:rPr>
        <w:t>Representante a la Cámara</w:t>
      </w:r>
      <w:r>
        <w:rPr>
          <w:rFonts w:ascii="Arial" w:hAnsi="Arial" w:cs="Arial"/>
          <w:sz w:val="28"/>
          <w:szCs w:val="28"/>
        </w:rPr>
        <w:t xml:space="preserve">                         Senador de la República                               </w:t>
      </w:r>
    </w:p>
    <w:p w:rsidR="004B04E6" w:rsidRDefault="004B04E6" w:rsidP="004B04E6">
      <w:pPr>
        <w:spacing w:after="0"/>
        <w:rPr>
          <w:rFonts w:ascii="Arial" w:hAnsi="Arial" w:cs="Arial"/>
          <w:sz w:val="28"/>
          <w:szCs w:val="28"/>
        </w:rPr>
      </w:pPr>
      <w:r w:rsidRPr="00327F5A">
        <w:rPr>
          <w:rFonts w:ascii="Arial" w:hAnsi="Arial" w:cs="Arial"/>
          <w:sz w:val="28"/>
          <w:szCs w:val="28"/>
        </w:rPr>
        <w:t xml:space="preserve">Alianza Verde </w:t>
      </w:r>
      <w:r>
        <w:rPr>
          <w:rFonts w:ascii="Arial" w:hAnsi="Arial" w:cs="Arial"/>
          <w:sz w:val="28"/>
          <w:szCs w:val="28"/>
        </w:rPr>
        <w:t xml:space="preserve">                                             </w:t>
      </w:r>
      <w:r w:rsidRPr="00327F5A">
        <w:rPr>
          <w:rFonts w:ascii="Arial" w:hAnsi="Arial" w:cs="Arial"/>
          <w:sz w:val="28"/>
          <w:szCs w:val="28"/>
        </w:rPr>
        <w:t xml:space="preserve">Alianza Verde </w:t>
      </w:r>
      <w:r>
        <w:rPr>
          <w:rFonts w:ascii="Arial" w:hAnsi="Arial" w:cs="Arial"/>
          <w:sz w:val="28"/>
          <w:szCs w:val="28"/>
        </w:rPr>
        <w:t xml:space="preserve"> </w:t>
      </w:r>
    </w:p>
    <w:p w:rsidR="004B04E6" w:rsidRDefault="004B04E6" w:rsidP="004B04E6">
      <w:pPr>
        <w:spacing w:after="0"/>
        <w:rPr>
          <w:rFonts w:ascii="Arial" w:hAnsi="Arial" w:cs="Arial"/>
          <w:sz w:val="28"/>
          <w:szCs w:val="28"/>
        </w:rPr>
      </w:pPr>
    </w:p>
    <w:p w:rsidR="004B04E6" w:rsidRPr="00C92325" w:rsidRDefault="004B04E6" w:rsidP="004B04E6">
      <w:pPr>
        <w:spacing w:after="0"/>
        <w:rPr>
          <w:rFonts w:ascii="Arial" w:hAnsi="Arial" w:cs="Arial"/>
          <w:sz w:val="28"/>
          <w:szCs w:val="28"/>
        </w:rPr>
      </w:pPr>
    </w:p>
    <w:p w:rsidR="004B04E6" w:rsidRPr="00C92325" w:rsidRDefault="004B04E6" w:rsidP="004B04E6">
      <w:pPr>
        <w:spacing w:after="0"/>
        <w:rPr>
          <w:rFonts w:ascii="Arial" w:hAnsi="Arial" w:cs="Arial"/>
          <w:sz w:val="28"/>
          <w:szCs w:val="28"/>
        </w:rPr>
      </w:pPr>
      <w:r w:rsidRPr="00C92325">
        <w:rPr>
          <w:rFonts w:ascii="Arial" w:hAnsi="Arial" w:cs="Arial"/>
          <w:sz w:val="28"/>
          <w:szCs w:val="28"/>
        </w:rPr>
        <w:t xml:space="preserve">                                                                                  </w:t>
      </w:r>
    </w:p>
    <w:p w:rsidR="004B04E6" w:rsidRDefault="004B04E6" w:rsidP="004B04E6">
      <w:pPr>
        <w:spacing w:after="0"/>
        <w:rPr>
          <w:rFonts w:ascii="Arial" w:hAnsi="Arial" w:cs="Arial"/>
          <w:b/>
          <w:sz w:val="28"/>
          <w:szCs w:val="28"/>
        </w:rPr>
      </w:pPr>
    </w:p>
    <w:p w:rsidR="004B04E6" w:rsidRDefault="004B04E6" w:rsidP="004B04E6">
      <w:pPr>
        <w:spacing w:after="0"/>
        <w:rPr>
          <w:rFonts w:ascii="Arial" w:hAnsi="Arial" w:cs="Arial"/>
          <w:b/>
          <w:sz w:val="28"/>
          <w:szCs w:val="28"/>
        </w:rPr>
      </w:pPr>
    </w:p>
    <w:p w:rsidR="004B04E6" w:rsidRDefault="004B04E6" w:rsidP="004B04E6">
      <w:pPr>
        <w:spacing w:after="0"/>
        <w:rPr>
          <w:rFonts w:ascii="Arial" w:hAnsi="Arial" w:cs="Arial"/>
          <w:b/>
          <w:sz w:val="28"/>
          <w:szCs w:val="28"/>
        </w:rPr>
      </w:pPr>
    </w:p>
    <w:p w:rsidR="004B04E6" w:rsidRDefault="004B04E6" w:rsidP="004B04E6">
      <w:pPr>
        <w:spacing w:after="0"/>
        <w:rPr>
          <w:rFonts w:ascii="Arial" w:hAnsi="Arial" w:cs="Arial"/>
          <w:b/>
          <w:sz w:val="28"/>
          <w:szCs w:val="28"/>
        </w:rPr>
      </w:pPr>
    </w:p>
    <w:p w:rsidR="004B04E6" w:rsidRPr="00C92325" w:rsidRDefault="004B04E6" w:rsidP="004B04E6">
      <w:pPr>
        <w:spacing w:after="0"/>
        <w:rPr>
          <w:rFonts w:ascii="Arial" w:hAnsi="Arial" w:cs="Arial"/>
          <w:sz w:val="28"/>
          <w:szCs w:val="28"/>
        </w:rPr>
      </w:pPr>
      <w:r w:rsidRPr="00C92325">
        <w:rPr>
          <w:rFonts w:ascii="Arial" w:hAnsi="Arial" w:cs="Arial"/>
          <w:b/>
          <w:sz w:val="28"/>
          <w:szCs w:val="28"/>
        </w:rPr>
        <w:t xml:space="preserve">Neyla Ruiz                                                    León Fredy Muñoz                                </w:t>
      </w:r>
    </w:p>
    <w:p w:rsidR="004B04E6" w:rsidRPr="00C92325" w:rsidRDefault="004B04E6" w:rsidP="004B04E6">
      <w:pPr>
        <w:spacing w:after="0"/>
        <w:rPr>
          <w:rFonts w:ascii="Arial" w:hAnsi="Arial" w:cs="Arial"/>
          <w:sz w:val="28"/>
          <w:szCs w:val="28"/>
        </w:rPr>
      </w:pPr>
      <w:r w:rsidRPr="00C92325">
        <w:rPr>
          <w:rFonts w:ascii="Arial" w:hAnsi="Arial" w:cs="Arial"/>
          <w:sz w:val="28"/>
          <w:szCs w:val="28"/>
        </w:rPr>
        <w:t xml:space="preserve">Representante a la Cámara                         Representante a la Cámara                     </w:t>
      </w:r>
    </w:p>
    <w:p w:rsidR="004B04E6" w:rsidRPr="00C92325" w:rsidRDefault="004B04E6" w:rsidP="004B04E6">
      <w:pPr>
        <w:spacing w:after="0"/>
        <w:rPr>
          <w:rFonts w:ascii="Arial" w:hAnsi="Arial" w:cs="Arial"/>
          <w:sz w:val="28"/>
          <w:szCs w:val="28"/>
        </w:rPr>
      </w:pPr>
      <w:r w:rsidRPr="00C92325">
        <w:rPr>
          <w:rFonts w:ascii="Arial" w:hAnsi="Arial" w:cs="Arial"/>
          <w:sz w:val="28"/>
          <w:szCs w:val="28"/>
        </w:rPr>
        <w:t>Alianza Verde                                               Alianza Verde</w:t>
      </w: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r w:rsidRPr="00A251F8">
        <w:rPr>
          <w:rFonts w:ascii="Arial" w:hAnsi="Arial" w:cs="Arial"/>
          <w:b/>
          <w:sz w:val="28"/>
          <w:szCs w:val="28"/>
        </w:rPr>
        <w:t>Katherine Miranda</w:t>
      </w:r>
      <w:r>
        <w:rPr>
          <w:rFonts w:ascii="Arial" w:hAnsi="Arial" w:cs="Arial"/>
          <w:sz w:val="28"/>
          <w:szCs w:val="28"/>
        </w:rPr>
        <w:t xml:space="preserve">                                      </w:t>
      </w:r>
      <w:r w:rsidRPr="00A251F8">
        <w:rPr>
          <w:rFonts w:ascii="Arial" w:hAnsi="Arial" w:cs="Arial"/>
          <w:b/>
          <w:sz w:val="28"/>
          <w:szCs w:val="28"/>
        </w:rPr>
        <w:t>Wilmer Leal</w:t>
      </w:r>
      <w:r>
        <w:rPr>
          <w:rFonts w:ascii="Arial" w:hAnsi="Arial" w:cs="Arial"/>
          <w:sz w:val="28"/>
          <w:szCs w:val="28"/>
        </w:rPr>
        <w:t xml:space="preserve"> </w:t>
      </w:r>
    </w:p>
    <w:p w:rsidR="004B04E6" w:rsidRDefault="004B04E6" w:rsidP="004B04E6">
      <w:pPr>
        <w:spacing w:after="0"/>
        <w:rPr>
          <w:rFonts w:ascii="Arial" w:hAnsi="Arial" w:cs="Arial"/>
          <w:sz w:val="28"/>
          <w:szCs w:val="28"/>
        </w:rPr>
      </w:pPr>
      <w:r w:rsidRPr="00327F5A">
        <w:rPr>
          <w:rFonts w:ascii="Arial" w:hAnsi="Arial" w:cs="Arial"/>
          <w:sz w:val="28"/>
          <w:szCs w:val="28"/>
        </w:rPr>
        <w:t>Representante a la Cámara</w:t>
      </w:r>
      <w:r>
        <w:rPr>
          <w:rFonts w:ascii="Arial" w:hAnsi="Arial" w:cs="Arial"/>
          <w:sz w:val="28"/>
          <w:szCs w:val="28"/>
        </w:rPr>
        <w:t xml:space="preserve">                         </w:t>
      </w:r>
      <w:r w:rsidRPr="00327F5A">
        <w:rPr>
          <w:rFonts w:ascii="Arial" w:hAnsi="Arial" w:cs="Arial"/>
          <w:sz w:val="28"/>
          <w:szCs w:val="28"/>
        </w:rPr>
        <w:t>Representante a la Cámara</w:t>
      </w:r>
    </w:p>
    <w:p w:rsidR="004B04E6" w:rsidRDefault="004B04E6" w:rsidP="004B04E6">
      <w:pPr>
        <w:spacing w:after="0"/>
        <w:rPr>
          <w:rFonts w:ascii="Arial" w:hAnsi="Arial" w:cs="Arial"/>
          <w:sz w:val="28"/>
          <w:szCs w:val="28"/>
        </w:rPr>
      </w:pPr>
      <w:r>
        <w:rPr>
          <w:rFonts w:ascii="Arial" w:hAnsi="Arial" w:cs="Arial"/>
          <w:sz w:val="28"/>
          <w:szCs w:val="28"/>
        </w:rPr>
        <w:t xml:space="preserve">Alianza Verde                                               Alianza Verde   </w:t>
      </w: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b/>
          <w:sz w:val="28"/>
          <w:szCs w:val="28"/>
        </w:rPr>
      </w:pPr>
    </w:p>
    <w:p w:rsidR="004B04E6" w:rsidRDefault="004B04E6" w:rsidP="004B04E6">
      <w:pPr>
        <w:spacing w:after="0"/>
        <w:rPr>
          <w:rFonts w:ascii="Arial" w:hAnsi="Arial" w:cs="Arial"/>
          <w:b/>
          <w:sz w:val="28"/>
          <w:szCs w:val="28"/>
        </w:rPr>
      </w:pPr>
    </w:p>
    <w:p w:rsidR="004B04E6" w:rsidRPr="00A251F8" w:rsidRDefault="004B04E6" w:rsidP="004B04E6">
      <w:pPr>
        <w:spacing w:after="0"/>
        <w:rPr>
          <w:rFonts w:ascii="Arial" w:hAnsi="Arial" w:cs="Arial"/>
          <w:b/>
          <w:sz w:val="28"/>
          <w:szCs w:val="28"/>
        </w:rPr>
      </w:pPr>
      <w:r w:rsidRPr="00A251F8">
        <w:rPr>
          <w:rFonts w:ascii="Arial" w:hAnsi="Arial" w:cs="Arial"/>
          <w:b/>
          <w:sz w:val="28"/>
          <w:szCs w:val="28"/>
        </w:rPr>
        <w:t xml:space="preserve">Mauricio Toro                </w:t>
      </w:r>
      <w:r>
        <w:rPr>
          <w:rFonts w:ascii="Arial" w:hAnsi="Arial" w:cs="Arial"/>
          <w:b/>
          <w:sz w:val="28"/>
          <w:szCs w:val="28"/>
        </w:rPr>
        <w:t xml:space="preserve">                              </w:t>
      </w:r>
      <w:r w:rsidRPr="00A251F8">
        <w:rPr>
          <w:rFonts w:ascii="Arial" w:hAnsi="Arial" w:cs="Arial"/>
          <w:b/>
          <w:sz w:val="28"/>
          <w:szCs w:val="28"/>
        </w:rPr>
        <w:t>Catalina Ortiz</w:t>
      </w:r>
    </w:p>
    <w:p w:rsidR="004B04E6" w:rsidRDefault="004B04E6" w:rsidP="004B04E6">
      <w:pPr>
        <w:spacing w:after="0"/>
        <w:rPr>
          <w:rFonts w:ascii="Arial" w:hAnsi="Arial" w:cs="Arial"/>
          <w:sz w:val="28"/>
          <w:szCs w:val="28"/>
        </w:rPr>
      </w:pPr>
      <w:r>
        <w:rPr>
          <w:rFonts w:ascii="Arial" w:hAnsi="Arial" w:cs="Arial"/>
          <w:sz w:val="28"/>
          <w:szCs w:val="28"/>
        </w:rPr>
        <w:t>Representante a la Cámara                         Representante a la Cámara</w:t>
      </w:r>
    </w:p>
    <w:p w:rsidR="004B04E6" w:rsidRDefault="004B04E6" w:rsidP="004B04E6">
      <w:pPr>
        <w:spacing w:after="0"/>
        <w:rPr>
          <w:rFonts w:ascii="Arial" w:hAnsi="Arial" w:cs="Arial"/>
          <w:sz w:val="28"/>
          <w:szCs w:val="28"/>
        </w:rPr>
      </w:pPr>
      <w:r>
        <w:rPr>
          <w:rFonts w:ascii="Arial" w:hAnsi="Arial" w:cs="Arial"/>
          <w:sz w:val="28"/>
          <w:szCs w:val="28"/>
        </w:rPr>
        <w:t xml:space="preserve">Alianza Verde                                               Alianza Verde                                        </w:t>
      </w:r>
    </w:p>
    <w:p w:rsidR="004B04E6" w:rsidRDefault="004B04E6" w:rsidP="004B04E6">
      <w:pPr>
        <w:spacing w:after="0"/>
        <w:rPr>
          <w:rFonts w:ascii="Arial" w:hAnsi="Arial" w:cs="Arial"/>
          <w:sz w:val="28"/>
          <w:szCs w:val="28"/>
        </w:rPr>
      </w:pPr>
      <w:r>
        <w:rPr>
          <w:rFonts w:ascii="Arial" w:hAnsi="Arial" w:cs="Arial"/>
          <w:sz w:val="28"/>
          <w:szCs w:val="28"/>
        </w:rPr>
        <w:t xml:space="preserve">  </w:t>
      </w: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r w:rsidRPr="00327F5A">
        <w:rPr>
          <w:rFonts w:ascii="Arial" w:hAnsi="Arial" w:cs="Arial"/>
          <w:b/>
          <w:sz w:val="28"/>
          <w:szCs w:val="28"/>
        </w:rPr>
        <w:t xml:space="preserve">Eneiro Rincón                                             </w:t>
      </w:r>
      <w:r>
        <w:rPr>
          <w:rFonts w:ascii="Arial" w:hAnsi="Arial" w:cs="Arial"/>
          <w:b/>
          <w:sz w:val="28"/>
          <w:szCs w:val="28"/>
        </w:rPr>
        <w:t xml:space="preserve">Alfredo </w:t>
      </w:r>
      <w:r w:rsidRPr="00327F5A">
        <w:rPr>
          <w:rFonts w:ascii="Arial" w:hAnsi="Arial" w:cs="Arial"/>
          <w:b/>
          <w:sz w:val="28"/>
          <w:szCs w:val="28"/>
        </w:rPr>
        <w:t>Deluque</w:t>
      </w:r>
    </w:p>
    <w:p w:rsidR="004B04E6" w:rsidRDefault="004B04E6" w:rsidP="004B04E6">
      <w:pPr>
        <w:spacing w:after="0"/>
        <w:rPr>
          <w:rFonts w:ascii="Arial" w:hAnsi="Arial" w:cs="Arial"/>
          <w:sz w:val="28"/>
          <w:szCs w:val="28"/>
        </w:rPr>
      </w:pPr>
      <w:r w:rsidRPr="00327F5A">
        <w:rPr>
          <w:rFonts w:ascii="Arial" w:hAnsi="Arial" w:cs="Arial"/>
          <w:sz w:val="28"/>
          <w:szCs w:val="28"/>
        </w:rPr>
        <w:t>Representante a la Cámara</w:t>
      </w:r>
      <w:r>
        <w:rPr>
          <w:rFonts w:ascii="Arial" w:hAnsi="Arial" w:cs="Arial"/>
          <w:sz w:val="28"/>
          <w:szCs w:val="28"/>
        </w:rPr>
        <w:t xml:space="preserve">                         </w:t>
      </w:r>
      <w:r w:rsidRPr="00327F5A">
        <w:rPr>
          <w:rFonts w:ascii="Arial" w:hAnsi="Arial" w:cs="Arial"/>
          <w:sz w:val="28"/>
          <w:szCs w:val="28"/>
        </w:rPr>
        <w:t>Representante a la Cámara</w:t>
      </w:r>
    </w:p>
    <w:p w:rsidR="004B04E6" w:rsidRDefault="004B04E6" w:rsidP="004B04E6">
      <w:pPr>
        <w:spacing w:after="0"/>
        <w:rPr>
          <w:rFonts w:ascii="Arial" w:hAnsi="Arial" w:cs="Arial"/>
          <w:sz w:val="28"/>
          <w:szCs w:val="28"/>
        </w:rPr>
      </w:pPr>
      <w:r>
        <w:rPr>
          <w:rFonts w:ascii="Arial" w:hAnsi="Arial" w:cs="Arial"/>
          <w:sz w:val="28"/>
          <w:szCs w:val="28"/>
        </w:rPr>
        <w:t>Partido Liberal                                              Partido de la U</w:t>
      </w: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Pr="001902FF" w:rsidRDefault="004B04E6" w:rsidP="004B04E6">
      <w:pPr>
        <w:spacing w:after="0"/>
        <w:rPr>
          <w:rFonts w:ascii="Arial" w:hAnsi="Arial" w:cs="Arial"/>
          <w:b/>
          <w:sz w:val="28"/>
          <w:szCs w:val="28"/>
        </w:rPr>
      </w:pPr>
    </w:p>
    <w:p w:rsidR="004B04E6" w:rsidRPr="001902FF" w:rsidRDefault="004B04E6" w:rsidP="004B04E6">
      <w:pPr>
        <w:spacing w:after="0"/>
        <w:rPr>
          <w:rFonts w:ascii="Arial" w:hAnsi="Arial" w:cs="Arial"/>
          <w:b/>
          <w:sz w:val="28"/>
          <w:szCs w:val="28"/>
        </w:rPr>
      </w:pPr>
      <w:r w:rsidRPr="001902FF">
        <w:rPr>
          <w:rFonts w:ascii="Arial" w:hAnsi="Arial" w:cs="Arial"/>
          <w:b/>
          <w:sz w:val="28"/>
          <w:szCs w:val="28"/>
        </w:rPr>
        <w:t xml:space="preserve">Alejandro Vega </w:t>
      </w:r>
      <w:r>
        <w:rPr>
          <w:rFonts w:ascii="Arial" w:hAnsi="Arial" w:cs="Arial"/>
          <w:b/>
          <w:sz w:val="28"/>
          <w:szCs w:val="28"/>
        </w:rPr>
        <w:t xml:space="preserve">                                          Flora Perdomo</w:t>
      </w:r>
    </w:p>
    <w:p w:rsidR="004B04E6" w:rsidRDefault="004B04E6" w:rsidP="004B04E6">
      <w:pPr>
        <w:spacing w:after="0"/>
        <w:rPr>
          <w:rFonts w:ascii="Arial" w:hAnsi="Arial" w:cs="Arial"/>
          <w:sz w:val="28"/>
          <w:szCs w:val="28"/>
        </w:rPr>
      </w:pPr>
      <w:r w:rsidRPr="00327F5A">
        <w:rPr>
          <w:rFonts w:ascii="Arial" w:hAnsi="Arial" w:cs="Arial"/>
          <w:sz w:val="28"/>
          <w:szCs w:val="28"/>
        </w:rPr>
        <w:t>Representante a la Cámara</w:t>
      </w:r>
      <w:r>
        <w:rPr>
          <w:rFonts w:ascii="Arial" w:hAnsi="Arial" w:cs="Arial"/>
          <w:sz w:val="28"/>
          <w:szCs w:val="28"/>
        </w:rPr>
        <w:t xml:space="preserve">                         </w:t>
      </w:r>
      <w:r w:rsidRPr="00327F5A">
        <w:rPr>
          <w:rFonts w:ascii="Arial" w:hAnsi="Arial" w:cs="Arial"/>
          <w:sz w:val="28"/>
          <w:szCs w:val="28"/>
        </w:rPr>
        <w:t>Representante a la Cámara</w:t>
      </w:r>
      <w:r>
        <w:rPr>
          <w:rFonts w:ascii="Arial" w:hAnsi="Arial" w:cs="Arial"/>
          <w:sz w:val="28"/>
          <w:szCs w:val="28"/>
        </w:rPr>
        <w:t xml:space="preserve"> </w:t>
      </w:r>
    </w:p>
    <w:p w:rsidR="004B04E6" w:rsidRDefault="004B04E6" w:rsidP="004B04E6">
      <w:pPr>
        <w:spacing w:after="0"/>
        <w:rPr>
          <w:rFonts w:ascii="Arial" w:hAnsi="Arial" w:cs="Arial"/>
          <w:sz w:val="28"/>
          <w:szCs w:val="28"/>
        </w:rPr>
      </w:pPr>
      <w:r>
        <w:rPr>
          <w:rFonts w:ascii="Arial" w:hAnsi="Arial" w:cs="Arial"/>
          <w:sz w:val="28"/>
          <w:szCs w:val="28"/>
        </w:rPr>
        <w:t>Partido Liberal                                              Partido Liberal</w:t>
      </w: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Pr="005114D9" w:rsidRDefault="004B04E6" w:rsidP="004B04E6">
      <w:pPr>
        <w:spacing w:after="0"/>
        <w:rPr>
          <w:rFonts w:ascii="Arial" w:hAnsi="Arial" w:cs="Arial"/>
          <w:b/>
          <w:sz w:val="28"/>
          <w:szCs w:val="28"/>
        </w:rPr>
      </w:pPr>
      <w:r>
        <w:rPr>
          <w:rFonts w:ascii="Arial" w:hAnsi="Arial" w:cs="Arial"/>
          <w:b/>
          <w:sz w:val="28"/>
          <w:szCs w:val="28"/>
        </w:rPr>
        <w:t>Carlos Bonilla                                              José Caicedo</w:t>
      </w:r>
    </w:p>
    <w:p w:rsidR="004B04E6" w:rsidRDefault="004B04E6" w:rsidP="004B04E6">
      <w:pPr>
        <w:spacing w:after="0"/>
        <w:rPr>
          <w:rFonts w:ascii="Arial" w:hAnsi="Arial" w:cs="Arial"/>
          <w:sz w:val="28"/>
          <w:szCs w:val="28"/>
        </w:rPr>
      </w:pPr>
      <w:r>
        <w:rPr>
          <w:rFonts w:ascii="Arial" w:hAnsi="Arial" w:cs="Arial"/>
          <w:sz w:val="28"/>
          <w:szCs w:val="28"/>
        </w:rPr>
        <w:t>Representante a la Cámara                         Representante a la Cámara</w:t>
      </w:r>
    </w:p>
    <w:p w:rsidR="004B04E6" w:rsidRDefault="004B04E6" w:rsidP="004B04E6">
      <w:pPr>
        <w:spacing w:after="0"/>
        <w:rPr>
          <w:rFonts w:ascii="Arial" w:hAnsi="Arial" w:cs="Arial"/>
          <w:sz w:val="28"/>
          <w:szCs w:val="28"/>
        </w:rPr>
      </w:pPr>
      <w:r>
        <w:rPr>
          <w:rFonts w:ascii="Arial" w:hAnsi="Arial" w:cs="Arial"/>
          <w:sz w:val="28"/>
          <w:szCs w:val="28"/>
        </w:rPr>
        <w:t>Partido Liberal                                              Partido de la U</w:t>
      </w: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b/>
          <w:sz w:val="28"/>
          <w:szCs w:val="28"/>
        </w:rPr>
      </w:pPr>
    </w:p>
    <w:p w:rsidR="004B04E6" w:rsidRDefault="004B04E6" w:rsidP="004B04E6">
      <w:pPr>
        <w:spacing w:after="0"/>
        <w:rPr>
          <w:rFonts w:ascii="Arial" w:hAnsi="Arial" w:cs="Arial"/>
          <w:b/>
          <w:sz w:val="28"/>
          <w:szCs w:val="28"/>
        </w:rPr>
      </w:pPr>
    </w:p>
    <w:p w:rsidR="004B04E6" w:rsidRPr="00A251F8" w:rsidRDefault="004B04E6" w:rsidP="004B04E6">
      <w:pPr>
        <w:spacing w:after="0"/>
        <w:rPr>
          <w:rFonts w:ascii="Arial" w:hAnsi="Arial" w:cs="Arial"/>
          <w:b/>
          <w:sz w:val="28"/>
          <w:szCs w:val="28"/>
        </w:rPr>
      </w:pPr>
      <w:r w:rsidRPr="00A251F8">
        <w:rPr>
          <w:rFonts w:ascii="Arial" w:hAnsi="Arial" w:cs="Arial"/>
          <w:b/>
          <w:sz w:val="28"/>
          <w:szCs w:val="28"/>
        </w:rPr>
        <w:t>María José Pizarro</w:t>
      </w:r>
      <w:r>
        <w:rPr>
          <w:rFonts w:ascii="Arial" w:hAnsi="Arial" w:cs="Arial"/>
          <w:b/>
          <w:sz w:val="28"/>
          <w:szCs w:val="28"/>
        </w:rPr>
        <w:t xml:space="preserve">                                    Jorge Alberto Gómez</w:t>
      </w:r>
    </w:p>
    <w:p w:rsidR="004B04E6" w:rsidRDefault="004B04E6" w:rsidP="004B04E6">
      <w:pPr>
        <w:spacing w:after="0"/>
        <w:rPr>
          <w:rFonts w:ascii="Arial" w:hAnsi="Arial" w:cs="Arial"/>
          <w:sz w:val="28"/>
          <w:szCs w:val="28"/>
        </w:rPr>
      </w:pPr>
      <w:r>
        <w:rPr>
          <w:rFonts w:ascii="Arial" w:hAnsi="Arial" w:cs="Arial"/>
          <w:sz w:val="28"/>
          <w:szCs w:val="28"/>
        </w:rPr>
        <w:t>Representante a la Cámara                        Representante a la Cámara</w:t>
      </w:r>
    </w:p>
    <w:p w:rsidR="004B04E6" w:rsidRDefault="004B04E6" w:rsidP="004B04E6">
      <w:pPr>
        <w:spacing w:after="0"/>
        <w:rPr>
          <w:rFonts w:ascii="Arial" w:hAnsi="Arial" w:cs="Arial"/>
          <w:sz w:val="28"/>
          <w:szCs w:val="28"/>
        </w:rPr>
      </w:pPr>
      <w:r>
        <w:rPr>
          <w:rFonts w:ascii="Arial" w:hAnsi="Arial" w:cs="Arial"/>
          <w:sz w:val="28"/>
          <w:szCs w:val="28"/>
        </w:rPr>
        <w:t>Coalición Decentes                                      POLO</w:t>
      </w: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b/>
          <w:sz w:val="28"/>
          <w:szCs w:val="28"/>
        </w:rPr>
      </w:pPr>
    </w:p>
    <w:p w:rsidR="004B04E6" w:rsidRDefault="004B04E6" w:rsidP="004B04E6">
      <w:pPr>
        <w:spacing w:after="0"/>
        <w:rPr>
          <w:rFonts w:ascii="Arial" w:hAnsi="Arial" w:cs="Arial"/>
          <w:b/>
          <w:sz w:val="28"/>
          <w:szCs w:val="28"/>
        </w:rPr>
      </w:pPr>
    </w:p>
    <w:p w:rsidR="004B04E6" w:rsidRDefault="004B04E6" w:rsidP="004B04E6">
      <w:pPr>
        <w:spacing w:after="0"/>
        <w:rPr>
          <w:rFonts w:ascii="Arial" w:hAnsi="Arial" w:cs="Arial"/>
          <w:b/>
          <w:sz w:val="28"/>
          <w:szCs w:val="28"/>
        </w:rPr>
      </w:pPr>
    </w:p>
    <w:p w:rsidR="004B04E6" w:rsidRPr="00A54769" w:rsidRDefault="004B04E6" w:rsidP="004B04E6">
      <w:pPr>
        <w:spacing w:after="0"/>
        <w:rPr>
          <w:rFonts w:ascii="Arial" w:hAnsi="Arial" w:cs="Arial"/>
          <w:b/>
          <w:sz w:val="28"/>
          <w:szCs w:val="28"/>
        </w:rPr>
      </w:pPr>
    </w:p>
    <w:p w:rsidR="004B04E6" w:rsidRPr="00A54769" w:rsidRDefault="004B04E6" w:rsidP="004B04E6">
      <w:pPr>
        <w:spacing w:after="0"/>
        <w:rPr>
          <w:rFonts w:ascii="Arial" w:hAnsi="Arial" w:cs="Arial"/>
          <w:b/>
          <w:sz w:val="28"/>
          <w:szCs w:val="28"/>
        </w:rPr>
      </w:pPr>
      <w:r w:rsidRPr="00A54769">
        <w:rPr>
          <w:rFonts w:ascii="Arial" w:hAnsi="Arial" w:cs="Arial"/>
          <w:b/>
          <w:sz w:val="28"/>
          <w:szCs w:val="28"/>
        </w:rPr>
        <w:t>Jorge Enrique Burgos</w:t>
      </w:r>
      <w:r>
        <w:rPr>
          <w:rFonts w:ascii="Arial" w:hAnsi="Arial" w:cs="Arial"/>
          <w:b/>
          <w:sz w:val="28"/>
          <w:szCs w:val="28"/>
        </w:rPr>
        <w:t xml:space="preserve">                                Ángela María Robledo</w:t>
      </w:r>
    </w:p>
    <w:p w:rsidR="004B04E6" w:rsidRDefault="004B04E6" w:rsidP="004B04E6">
      <w:pPr>
        <w:spacing w:after="0"/>
        <w:rPr>
          <w:rFonts w:ascii="Arial" w:hAnsi="Arial" w:cs="Arial"/>
          <w:sz w:val="28"/>
          <w:szCs w:val="28"/>
        </w:rPr>
      </w:pPr>
      <w:r>
        <w:rPr>
          <w:rFonts w:ascii="Arial" w:hAnsi="Arial" w:cs="Arial"/>
          <w:sz w:val="28"/>
          <w:szCs w:val="28"/>
        </w:rPr>
        <w:t>Representante a la Cámara                         Representante a la Cámara</w:t>
      </w:r>
    </w:p>
    <w:p w:rsidR="004B04E6" w:rsidRDefault="004B04E6" w:rsidP="004B04E6">
      <w:pPr>
        <w:spacing w:after="0"/>
        <w:rPr>
          <w:rFonts w:ascii="Arial" w:hAnsi="Arial" w:cs="Arial"/>
          <w:sz w:val="28"/>
          <w:szCs w:val="28"/>
        </w:rPr>
      </w:pPr>
      <w:r>
        <w:rPr>
          <w:rFonts w:ascii="Arial" w:hAnsi="Arial" w:cs="Arial"/>
          <w:sz w:val="28"/>
          <w:szCs w:val="28"/>
        </w:rPr>
        <w:t>Partido de la U                                              Colombia Humana</w:t>
      </w: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Pr="00A54769" w:rsidRDefault="004B04E6" w:rsidP="004B04E6">
      <w:pPr>
        <w:spacing w:after="0"/>
        <w:rPr>
          <w:rFonts w:ascii="Arial" w:hAnsi="Arial" w:cs="Arial"/>
          <w:b/>
          <w:sz w:val="28"/>
          <w:szCs w:val="28"/>
        </w:rPr>
      </w:pPr>
      <w:r w:rsidRPr="00A54769">
        <w:rPr>
          <w:rFonts w:ascii="Arial" w:hAnsi="Arial" w:cs="Arial"/>
          <w:b/>
          <w:sz w:val="28"/>
          <w:szCs w:val="28"/>
        </w:rPr>
        <w:t>Erasmo Zuleta</w:t>
      </w:r>
      <w:r>
        <w:rPr>
          <w:rFonts w:ascii="Arial" w:hAnsi="Arial" w:cs="Arial"/>
          <w:b/>
          <w:sz w:val="28"/>
          <w:szCs w:val="28"/>
        </w:rPr>
        <w:t xml:space="preserve">                                            Nubia López</w:t>
      </w:r>
    </w:p>
    <w:p w:rsidR="004B04E6" w:rsidRDefault="004B04E6" w:rsidP="004B04E6">
      <w:pPr>
        <w:spacing w:after="0"/>
        <w:rPr>
          <w:rFonts w:ascii="Arial" w:hAnsi="Arial" w:cs="Arial"/>
          <w:sz w:val="28"/>
          <w:szCs w:val="28"/>
        </w:rPr>
      </w:pPr>
      <w:r>
        <w:rPr>
          <w:rFonts w:ascii="Arial" w:hAnsi="Arial" w:cs="Arial"/>
          <w:sz w:val="28"/>
          <w:szCs w:val="28"/>
        </w:rPr>
        <w:t>Representante a la Cámara                         Representante a la Cámara</w:t>
      </w:r>
    </w:p>
    <w:p w:rsidR="004B04E6" w:rsidRDefault="004B04E6" w:rsidP="004B04E6">
      <w:pPr>
        <w:spacing w:after="0"/>
        <w:rPr>
          <w:rFonts w:ascii="Arial" w:hAnsi="Arial" w:cs="Arial"/>
          <w:sz w:val="28"/>
          <w:szCs w:val="28"/>
        </w:rPr>
      </w:pPr>
      <w:r>
        <w:rPr>
          <w:rFonts w:ascii="Arial" w:hAnsi="Arial" w:cs="Arial"/>
          <w:sz w:val="28"/>
          <w:szCs w:val="28"/>
        </w:rPr>
        <w:t>Partido de la U                                             Partido Liberal</w:t>
      </w: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Pr="00A54769" w:rsidRDefault="004B04E6" w:rsidP="004B04E6">
      <w:pPr>
        <w:spacing w:after="0"/>
        <w:rPr>
          <w:rFonts w:ascii="Arial" w:hAnsi="Arial" w:cs="Arial"/>
          <w:b/>
          <w:sz w:val="28"/>
          <w:szCs w:val="28"/>
        </w:rPr>
      </w:pPr>
      <w:r w:rsidRPr="00A54769">
        <w:rPr>
          <w:rFonts w:ascii="Arial" w:hAnsi="Arial" w:cs="Arial"/>
          <w:b/>
          <w:sz w:val="28"/>
          <w:szCs w:val="28"/>
        </w:rPr>
        <w:t>Silvio Carrasquilla</w:t>
      </w:r>
      <w:r>
        <w:rPr>
          <w:rFonts w:ascii="Arial" w:hAnsi="Arial" w:cs="Arial"/>
          <w:b/>
          <w:sz w:val="28"/>
          <w:szCs w:val="28"/>
        </w:rPr>
        <w:t xml:space="preserve">                                      Wilmer Carrillo</w:t>
      </w:r>
    </w:p>
    <w:p w:rsidR="004B04E6" w:rsidRDefault="004B04E6" w:rsidP="004B04E6">
      <w:pPr>
        <w:spacing w:after="0"/>
        <w:rPr>
          <w:rFonts w:ascii="Arial" w:hAnsi="Arial" w:cs="Arial"/>
          <w:sz w:val="28"/>
          <w:szCs w:val="28"/>
        </w:rPr>
      </w:pPr>
      <w:r>
        <w:rPr>
          <w:rFonts w:ascii="Arial" w:hAnsi="Arial" w:cs="Arial"/>
          <w:sz w:val="28"/>
          <w:szCs w:val="28"/>
        </w:rPr>
        <w:t>Representante a la Cámara                         Representante a la Cámara</w:t>
      </w:r>
    </w:p>
    <w:p w:rsidR="004B04E6" w:rsidRDefault="004B04E6" w:rsidP="004B04E6">
      <w:pPr>
        <w:spacing w:after="0"/>
        <w:rPr>
          <w:rFonts w:ascii="Arial" w:hAnsi="Arial" w:cs="Arial"/>
          <w:sz w:val="28"/>
          <w:szCs w:val="28"/>
        </w:rPr>
      </w:pPr>
      <w:r>
        <w:rPr>
          <w:rFonts w:ascii="Arial" w:hAnsi="Arial" w:cs="Arial"/>
          <w:sz w:val="28"/>
          <w:szCs w:val="28"/>
        </w:rPr>
        <w:t>Partido Liberal                                              Partido de la U</w:t>
      </w: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b/>
          <w:sz w:val="28"/>
          <w:szCs w:val="28"/>
        </w:rPr>
      </w:pPr>
    </w:p>
    <w:p w:rsidR="004B04E6" w:rsidRDefault="004B04E6" w:rsidP="004B04E6">
      <w:pPr>
        <w:spacing w:after="0"/>
        <w:rPr>
          <w:rFonts w:ascii="Arial" w:hAnsi="Arial" w:cs="Arial"/>
          <w:b/>
          <w:sz w:val="28"/>
          <w:szCs w:val="28"/>
        </w:rPr>
      </w:pPr>
    </w:p>
    <w:p w:rsidR="004B04E6" w:rsidRDefault="004B04E6" w:rsidP="004B04E6">
      <w:pPr>
        <w:spacing w:after="0"/>
        <w:rPr>
          <w:rFonts w:ascii="Arial" w:hAnsi="Arial" w:cs="Arial"/>
          <w:b/>
          <w:sz w:val="28"/>
          <w:szCs w:val="28"/>
        </w:rPr>
      </w:pPr>
    </w:p>
    <w:p w:rsidR="004B04E6" w:rsidRDefault="004B04E6" w:rsidP="004B04E6">
      <w:pPr>
        <w:spacing w:after="0"/>
        <w:rPr>
          <w:rFonts w:ascii="Arial" w:hAnsi="Arial" w:cs="Arial"/>
          <w:b/>
          <w:sz w:val="28"/>
          <w:szCs w:val="28"/>
        </w:rPr>
      </w:pPr>
    </w:p>
    <w:p w:rsidR="004B04E6" w:rsidRPr="00A54769" w:rsidRDefault="004B04E6" w:rsidP="004B04E6">
      <w:pPr>
        <w:spacing w:after="0"/>
        <w:rPr>
          <w:rFonts w:ascii="Arial" w:hAnsi="Arial" w:cs="Arial"/>
          <w:b/>
          <w:sz w:val="28"/>
          <w:szCs w:val="28"/>
        </w:rPr>
      </w:pPr>
      <w:r w:rsidRPr="00A54769">
        <w:rPr>
          <w:rFonts w:ascii="Arial" w:hAnsi="Arial" w:cs="Arial"/>
          <w:b/>
          <w:sz w:val="28"/>
          <w:szCs w:val="28"/>
        </w:rPr>
        <w:t xml:space="preserve">José Salazar </w:t>
      </w:r>
      <w:r>
        <w:rPr>
          <w:rFonts w:ascii="Arial" w:hAnsi="Arial" w:cs="Arial"/>
          <w:b/>
          <w:sz w:val="28"/>
          <w:szCs w:val="28"/>
        </w:rPr>
        <w:t xml:space="preserve">                                               Víctor Ortiz</w:t>
      </w:r>
    </w:p>
    <w:p w:rsidR="004B04E6" w:rsidRDefault="004B04E6" w:rsidP="004B04E6">
      <w:pPr>
        <w:spacing w:after="0"/>
        <w:rPr>
          <w:rFonts w:ascii="Arial" w:hAnsi="Arial" w:cs="Arial"/>
          <w:sz w:val="28"/>
          <w:szCs w:val="28"/>
        </w:rPr>
      </w:pPr>
      <w:r>
        <w:rPr>
          <w:rFonts w:ascii="Arial" w:hAnsi="Arial" w:cs="Arial"/>
          <w:sz w:val="28"/>
          <w:szCs w:val="28"/>
        </w:rPr>
        <w:t>Representante a la Cámara                         Representante a la Cámara</w:t>
      </w:r>
    </w:p>
    <w:p w:rsidR="004B04E6" w:rsidRDefault="004B04E6" w:rsidP="004B04E6">
      <w:pPr>
        <w:spacing w:after="0"/>
        <w:rPr>
          <w:rFonts w:ascii="Arial" w:hAnsi="Arial" w:cs="Arial"/>
          <w:sz w:val="28"/>
          <w:szCs w:val="28"/>
        </w:rPr>
      </w:pPr>
      <w:r>
        <w:rPr>
          <w:rFonts w:ascii="Arial" w:hAnsi="Arial" w:cs="Arial"/>
          <w:sz w:val="28"/>
          <w:szCs w:val="28"/>
        </w:rPr>
        <w:t xml:space="preserve">Partido de la U                                              Partido Liberal </w:t>
      </w: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Pr="00A54769" w:rsidRDefault="004B04E6" w:rsidP="004B04E6">
      <w:pPr>
        <w:spacing w:after="0"/>
        <w:rPr>
          <w:rFonts w:ascii="Arial" w:hAnsi="Arial" w:cs="Arial"/>
          <w:b/>
          <w:sz w:val="28"/>
          <w:szCs w:val="28"/>
        </w:rPr>
      </w:pPr>
      <w:r w:rsidRPr="00A54769">
        <w:rPr>
          <w:rFonts w:ascii="Arial" w:hAnsi="Arial" w:cs="Arial"/>
          <w:b/>
          <w:sz w:val="28"/>
          <w:szCs w:val="28"/>
        </w:rPr>
        <w:t xml:space="preserve">Alonso José del Rio </w:t>
      </w:r>
      <w:r>
        <w:rPr>
          <w:rFonts w:ascii="Arial" w:hAnsi="Arial" w:cs="Arial"/>
          <w:b/>
          <w:sz w:val="28"/>
          <w:szCs w:val="28"/>
        </w:rPr>
        <w:t xml:space="preserve">                                  Jairo Cala</w:t>
      </w:r>
    </w:p>
    <w:p w:rsidR="004B04E6" w:rsidRDefault="004B04E6" w:rsidP="004B04E6">
      <w:pPr>
        <w:spacing w:after="0"/>
        <w:rPr>
          <w:rFonts w:ascii="Arial" w:hAnsi="Arial" w:cs="Arial"/>
          <w:sz w:val="28"/>
          <w:szCs w:val="28"/>
        </w:rPr>
      </w:pPr>
      <w:r>
        <w:rPr>
          <w:rFonts w:ascii="Arial" w:hAnsi="Arial" w:cs="Arial"/>
          <w:sz w:val="28"/>
          <w:szCs w:val="28"/>
        </w:rPr>
        <w:t>Representante a la Cámara                         Representante a la Cámara</w:t>
      </w:r>
    </w:p>
    <w:p w:rsidR="004B04E6" w:rsidRDefault="004B04E6" w:rsidP="004B04E6">
      <w:pPr>
        <w:spacing w:after="0"/>
        <w:rPr>
          <w:rFonts w:ascii="Arial" w:hAnsi="Arial" w:cs="Arial"/>
          <w:sz w:val="28"/>
          <w:szCs w:val="28"/>
        </w:rPr>
      </w:pPr>
      <w:r>
        <w:rPr>
          <w:rFonts w:ascii="Arial" w:hAnsi="Arial" w:cs="Arial"/>
          <w:sz w:val="28"/>
          <w:szCs w:val="28"/>
        </w:rPr>
        <w:t>Partido de la U                                              FARC</w:t>
      </w: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Pr="00CC4737" w:rsidRDefault="004B04E6" w:rsidP="004B04E6">
      <w:pPr>
        <w:spacing w:after="0"/>
        <w:rPr>
          <w:rFonts w:ascii="Arial" w:hAnsi="Arial" w:cs="Arial"/>
          <w:b/>
          <w:sz w:val="28"/>
          <w:szCs w:val="28"/>
        </w:rPr>
      </w:pPr>
      <w:r w:rsidRPr="00CC4737">
        <w:rPr>
          <w:rFonts w:ascii="Arial" w:hAnsi="Arial" w:cs="Arial"/>
          <w:b/>
          <w:sz w:val="28"/>
          <w:szCs w:val="28"/>
        </w:rPr>
        <w:t>Andrés Calle</w:t>
      </w:r>
      <w:r>
        <w:rPr>
          <w:rFonts w:ascii="Arial" w:hAnsi="Arial" w:cs="Arial"/>
          <w:b/>
          <w:sz w:val="28"/>
          <w:szCs w:val="28"/>
        </w:rPr>
        <w:t xml:space="preserve">                                               César Pachón </w:t>
      </w:r>
    </w:p>
    <w:p w:rsidR="004B04E6" w:rsidRDefault="004B04E6" w:rsidP="004B04E6">
      <w:pPr>
        <w:spacing w:after="0"/>
        <w:rPr>
          <w:rFonts w:ascii="Arial" w:hAnsi="Arial" w:cs="Arial"/>
          <w:sz w:val="28"/>
          <w:szCs w:val="28"/>
        </w:rPr>
      </w:pPr>
      <w:r>
        <w:rPr>
          <w:rFonts w:ascii="Arial" w:hAnsi="Arial" w:cs="Arial"/>
          <w:sz w:val="28"/>
          <w:szCs w:val="28"/>
        </w:rPr>
        <w:t>Representante a la Cámara                         Representante a la Cámara</w:t>
      </w:r>
    </w:p>
    <w:p w:rsidR="004B04E6" w:rsidRDefault="004B04E6" w:rsidP="004B04E6">
      <w:pPr>
        <w:spacing w:after="0"/>
        <w:rPr>
          <w:rFonts w:ascii="Arial" w:hAnsi="Arial" w:cs="Arial"/>
          <w:sz w:val="28"/>
          <w:szCs w:val="28"/>
        </w:rPr>
      </w:pPr>
      <w:r>
        <w:rPr>
          <w:rFonts w:ascii="Arial" w:hAnsi="Arial" w:cs="Arial"/>
          <w:sz w:val="28"/>
          <w:szCs w:val="28"/>
        </w:rPr>
        <w:t>Partido Liberal                                              Mais</w:t>
      </w: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Pr="00CC4737" w:rsidRDefault="004B04E6" w:rsidP="004B04E6">
      <w:pPr>
        <w:spacing w:after="0"/>
        <w:rPr>
          <w:rFonts w:ascii="Arial" w:hAnsi="Arial" w:cs="Arial"/>
          <w:b/>
          <w:sz w:val="28"/>
          <w:szCs w:val="28"/>
        </w:rPr>
      </w:pPr>
      <w:r w:rsidRPr="00CC4737">
        <w:rPr>
          <w:rFonts w:ascii="Arial" w:hAnsi="Arial" w:cs="Arial"/>
          <w:b/>
          <w:sz w:val="28"/>
          <w:szCs w:val="28"/>
        </w:rPr>
        <w:t>Kelyn Johana González</w:t>
      </w:r>
      <w:r>
        <w:rPr>
          <w:rFonts w:ascii="Arial" w:hAnsi="Arial" w:cs="Arial"/>
          <w:b/>
          <w:sz w:val="28"/>
          <w:szCs w:val="28"/>
        </w:rPr>
        <w:t xml:space="preserve">                             Franklin Lozano</w:t>
      </w:r>
    </w:p>
    <w:p w:rsidR="004B04E6" w:rsidRDefault="004B04E6" w:rsidP="004B04E6">
      <w:pPr>
        <w:spacing w:after="0"/>
        <w:rPr>
          <w:rFonts w:ascii="Arial" w:hAnsi="Arial" w:cs="Arial"/>
          <w:sz w:val="28"/>
          <w:szCs w:val="28"/>
        </w:rPr>
      </w:pPr>
      <w:r>
        <w:rPr>
          <w:rFonts w:ascii="Arial" w:hAnsi="Arial" w:cs="Arial"/>
          <w:sz w:val="28"/>
          <w:szCs w:val="28"/>
        </w:rPr>
        <w:t>Representante a la Cámara                         Representante a la Cámara</w:t>
      </w:r>
    </w:p>
    <w:p w:rsidR="004B04E6" w:rsidRDefault="004B04E6" w:rsidP="004B04E6">
      <w:pPr>
        <w:spacing w:after="0"/>
        <w:rPr>
          <w:rFonts w:ascii="Arial" w:hAnsi="Arial" w:cs="Arial"/>
          <w:sz w:val="28"/>
          <w:szCs w:val="28"/>
        </w:rPr>
      </w:pPr>
      <w:r>
        <w:rPr>
          <w:rFonts w:ascii="Arial" w:hAnsi="Arial" w:cs="Arial"/>
          <w:sz w:val="28"/>
          <w:szCs w:val="28"/>
        </w:rPr>
        <w:t>Partido Liberal                                              Opción Ciudadana</w:t>
      </w: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b/>
          <w:sz w:val="28"/>
          <w:szCs w:val="28"/>
        </w:rPr>
      </w:pPr>
    </w:p>
    <w:p w:rsidR="004B04E6" w:rsidRPr="00CC4737" w:rsidRDefault="004B04E6" w:rsidP="004B04E6">
      <w:pPr>
        <w:spacing w:after="0"/>
        <w:rPr>
          <w:rFonts w:ascii="Arial" w:hAnsi="Arial" w:cs="Arial"/>
          <w:sz w:val="28"/>
          <w:szCs w:val="28"/>
        </w:rPr>
      </w:pPr>
      <w:r>
        <w:rPr>
          <w:rFonts w:ascii="Arial" w:hAnsi="Arial" w:cs="Arial"/>
          <w:b/>
          <w:sz w:val="28"/>
          <w:szCs w:val="28"/>
        </w:rPr>
        <w:t>Carlos Ardila</w:t>
      </w:r>
      <w:r w:rsidRPr="00CC4737">
        <w:rPr>
          <w:rFonts w:ascii="Arial" w:hAnsi="Arial" w:cs="Arial"/>
          <w:b/>
          <w:sz w:val="28"/>
          <w:szCs w:val="28"/>
        </w:rPr>
        <w:t xml:space="preserve">       </w:t>
      </w:r>
      <w:r>
        <w:rPr>
          <w:rFonts w:ascii="Arial" w:hAnsi="Arial" w:cs="Arial"/>
          <w:b/>
          <w:sz w:val="28"/>
          <w:szCs w:val="28"/>
        </w:rPr>
        <w:t xml:space="preserve">                                        Abel Jaramillo</w:t>
      </w:r>
      <w:r w:rsidRPr="00CC4737">
        <w:rPr>
          <w:rFonts w:ascii="Arial" w:hAnsi="Arial" w:cs="Arial"/>
          <w:b/>
          <w:sz w:val="28"/>
          <w:szCs w:val="28"/>
        </w:rPr>
        <w:t xml:space="preserve"> </w:t>
      </w:r>
      <w:r>
        <w:rPr>
          <w:rFonts w:ascii="Arial" w:hAnsi="Arial" w:cs="Arial"/>
          <w:sz w:val="28"/>
          <w:szCs w:val="28"/>
        </w:rPr>
        <w:t xml:space="preserve">                                                                           </w:t>
      </w:r>
      <w:r w:rsidRPr="00CC4737">
        <w:rPr>
          <w:rFonts w:ascii="Arial" w:hAnsi="Arial" w:cs="Arial"/>
          <w:sz w:val="28"/>
          <w:szCs w:val="28"/>
        </w:rPr>
        <w:t xml:space="preserve">       </w:t>
      </w:r>
    </w:p>
    <w:p w:rsidR="004B04E6" w:rsidRDefault="004B04E6" w:rsidP="004B04E6">
      <w:pPr>
        <w:spacing w:after="0"/>
        <w:rPr>
          <w:rFonts w:ascii="Arial" w:hAnsi="Arial" w:cs="Arial"/>
          <w:sz w:val="28"/>
          <w:szCs w:val="28"/>
        </w:rPr>
      </w:pPr>
      <w:r>
        <w:rPr>
          <w:rFonts w:ascii="Arial" w:hAnsi="Arial" w:cs="Arial"/>
          <w:sz w:val="28"/>
          <w:szCs w:val="28"/>
        </w:rPr>
        <w:t>Representante a la Cámara                         Representante a la Cámara</w:t>
      </w:r>
    </w:p>
    <w:p w:rsidR="004B04E6" w:rsidRDefault="004B04E6" w:rsidP="004B04E6">
      <w:pPr>
        <w:spacing w:after="0"/>
        <w:rPr>
          <w:rFonts w:ascii="Arial" w:hAnsi="Arial" w:cs="Arial"/>
          <w:sz w:val="28"/>
          <w:szCs w:val="28"/>
        </w:rPr>
      </w:pPr>
      <w:r>
        <w:rPr>
          <w:rFonts w:ascii="Arial" w:hAnsi="Arial" w:cs="Arial"/>
          <w:sz w:val="28"/>
          <w:szCs w:val="28"/>
        </w:rPr>
        <w:t>Partido Liberal                                              Mais</w:t>
      </w: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Pr="00A251F8" w:rsidRDefault="004B04E6" w:rsidP="004B04E6">
      <w:pPr>
        <w:spacing w:after="0"/>
        <w:rPr>
          <w:rFonts w:ascii="Arial" w:hAnsi="Arial" w:cs="Arial"/>
          <w:b/>
          <w:sz w:val="28"/>
          <w:szCs w:val="28"/>
        </w:rPr>
      </w:pPr>
      <w:r w:rsidRPr="00A251F8">
        <w:rPr>
          <w:rFonts w:ascii="Arial" w:hAnsi="Arial" w:cs="Arial"/>
          <w:b/>
          <w:sz w:val="28"/>
          <w:szCs w:val="28"/>
        </w:rPr>
        <w:t>Hernán Banguero</w:t>
      </w:r>
      <w:r>
        <w:rPr>
          <w:rFonts w:ascii="Arial" w:hAnsi="Arial" w:cs="Arial"/>
          <w:b/>
          <w:sz w:val="28"/>
          <w:szCs w:val="28"/>
        </w:rPr>
        <w:t xml:space="preserve">                                       Carlos Carreño</w:t>
      </w:r>
    </w:p>
    <w:p w:rsidR="004B04E6" w:rsidRDefault="004B04E6" w:rsidP="004B04E6">
      <w:pPr>
        <w:spacing w:after="0"/>
        <w:rPr>
          <w:rFonts w:ascii="Arial" w:hAnsi="Arial" w:cs="Arial"/>
          <w:sz w:val="28"/>
          <w:szCs w:val="28"/>
        </w:rPr>
      </w:pPr>
      <w:r>
        <w:rPr>
          <w:rFonts w:ascii="Arial" w:hAnsi="Arial" w:cs="Arial"/>
          <w:sz w:val="28"/>
          <w:szCs w:val="28"/>
        </w:rPr>
        <w:t>Representante a la Cámara                         Representante a la Cámara</w:t>
      </w:r>
    </w:p>
    <w:p w:rsidR="004B04E6" w:rsidRDefault="004B04E6" w:rsidP="004B04E6">
      <w:pPr>
        <w:spacing w:after="0"/>
        <w:rPr>
          <w:rFonts w:ascii="Arial" w:hAnsi="Arial" w:cs="Arial"/>
          <w:sz w:val="28"/>
          <w:szCs w:val="28"/>
        </w:rPr>
      </w:pPr>
      <w:r>
        <w:rPr>
          <w:rFonts w:ascii="Arial" w:hAnsi="Arial" w:cs="Arial"/>
          <w:sz w:val="28"/>
          <w:szCs w:val="28"/>
        </w:rPr>
        <w:t>Consejo Comunitario la Mamuncia              FARC</w:t>
      </w: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sz w:val="28"/>
          <w:szCs w:val="28"/>
        </w:rPr>
      </w:pPr>
    </w:p>
    <w:p w:rsidR="004B04E6" w:rsidRDefault="004B04E6" w:rsidP="004B04E6">
      <w:pPr>
        <w:spacing w:after="0"/>
        <w:rPr>
          <w:rFonts w:ascii="Arial" w:hAnsi="Arial" w:cs="Arial"/>
          <w:b/>
          <w:sz w:val="28"/>
          <w:szCs w:val="28"/>
        </w:rPr>
      </w:pPr>
    </w:p>
    <w:p w:rsidR="004B04E6" w:rsidRPr="00A251F8" w:rsidRDefault="004B04E6" w:rsidP="004B04E6">
      <w:pPr>
        <w:spacing w:after="0"/>
        <w:rPr>
          <w:rFonts w:ascii="Arial" w:hAnsi="Arial" w:cs="Arial"/>
          <w:b/>
          <w:sz w:val="28"/>
          <w:szCs w:val="28"/>
        </w:rPr>
      </w:pPr>
      <w:r w:rsidRPr="00A251F8">
        <w:rPr>
          <w:rFonts w:ascii="Arial" w:hAnsi="Arial" w:cs="Arial"/>
          <w:b/>
          <w:sz w:val="28"/>
          <w:szCs w:val="28"/>
        </w:rPr>
        <w:t xml:space="preserve">Luis Albán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 xml:space="preserve">    David Racero Mayorca</w:t>
      </w:r>
    </w:p>
    <w:p w:rsidR="004B04E6" w:rsidRDefault="004B04E6" w:rsidP="004B04E6">
      <w:pPr>
        <w:spacing w:after="0"/>
        <w:rPr>
          <w:rFonts w:ascii="Arial" w:hAnsi="Arial" w:cs="Arial"/>
          <w:sz w:val="28"/>
          <w:szCs w:val="28"/>
        </w:rPr>
      </w:pPr>
      <w:r>
        <w:rPr>
          <w:rFonts w:ascii="Arial" w:hAnsi="Arial" w:cs="Arial"/>
          <w:sz w:val="28"/>
          <w:szCs w:val="28"/>
        </w:rPr>
        <w:t>Representante a la Cámara                       Representante a la Cámara</w:t>
      </w:r>
    </w:p>
    <w:p w:rsidR="004B04E6" w:rsidRPr="001B4B14" w:rsidRDefault="004B04E6" w:rsidP="004B04E6">
      <w:pPr>
        <w:spacing w:after="0"/>
        <w:rPr>
          <w:rFonts w:ascii="Arial Narrow" w:hAnsi="Arial Narrow"/>
        </w:rPr>
      </w:pPr>
      <w:r>
        <w:rPr>
          <w:rFonts w:ascii="Arial" w:hAnsi="Arial" w:cs="Arial"/>
          <w:sz w:val="28"/>
          <w:szCs w:val="28"/>
        </w:rPr>
        <w:t>FARC</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Coalición Decentes  </w:t>
      </w:r>
    </w:p>
    <w:p w:rsidR="00FC4557" w:rsidRPr="0007322C" w:rsidRDefault="00FC4557" w:rsidP="0007322C">
      <w:bookmarkStart w:id="0" w:name="_GoBack"/>
      <w:bookmarkEnd w:id="0"/>
    </w:p>
    <w:sectPr w:rsidR="00FC4557" w:rsidRPr="0007322C" w:rsidSect="004B2198">
      <w:headerReference w:type="default" r:id="rId23"/>
      <w:footerReference w:type="default" r:id="rId24"/>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31C" w:rsidRDefault="008F231C" w:rsidP="00201296">
      <w:pPr>
        <w:spacing w:after="0" w:line="240" w:lineRule="auto"/>
      </w:pPr>
      <w:r>
        <w:separator/>
      </w:r>
    </w:p>
  </w:endnote>
  <w:endnote w:type="continuationSeparator" w:id="0">
    <w:p w:rsidR="008F231C" w:rsidRDefault="008F231C" w:rsidP="00201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 w:name="GillSansM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28B" w:rsidRDefault="0068628B" w:rsidP="00201296">
    <w:pPr>
      <w:pStyle w:val="Piedepgina"/>
      <w:jc w:val="center"/>
    </w:pPr>
    <w:r>
      <w:rPr>
        <w:noProof/>
        <w:lang w:eastAsia="es-CO"/>
      </w:rPr>
      <w:drawing>
        <wp:inline distT="0" distB="0" distL="0" distR="0" wp14:anchorId="1D3A2F60" wp14:editId="5C3844A0">
          <wp:extent cx="3038475" cy="2571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257175"/>
                  </a:xfrm>
                  <a:prstGeom prst="rect">
                    <a:avLst/>
                  </a:prstGeom>
                  <a:noFill/>
                  <a:ln>
                    <a:noFill/>
                  </a:ln>
                </pic:spPr>
              </pic:pic>
            </a:graphicData>
          </a:graphic>
        </wp:inline>
      </w:drawing>
    </w:r>
  </w:p>
  <w:p w:rsidR="00C2789E" w:rsidRDefault="00C2789E" w:rsidP="00201296">
    <w:pPr>
      <w:pStyle w:val="Piedepgina"/>
      <w:jc w:val="center"/>
    </w:pPr>
    <w:r>
      <w:rPr>
        <w:color w:val="000000"/>
        <w:sz w:val="27"/>
        <w:szCs w:val="27"/>
      </w:rPr>
      <w:t>Bogotá: Carrera 7 No. 8 - 6 8. Edific</w:t>
    </w:r>
    <w:r w:rsidR="000A0A36">
      <w:rPr>
        <w:color w:val="000000"/>
        <w:sz w:val="27"/>
        <w:szCs w:val="27"/>
      </w:rPr>
      <w:t>io Nuev</w:t>
    </w:r>
    <w:r w:rsidR="00AD46B2">
      <w:rPr>
        <w:color w:val="000000"/>
        <w:sz w:val="27"/>
        <w:szCs w:val="27"/>
      </w:rPr>
      <w:t>o del Congreso. Of 326B – EXT 3393</w:t>
    </w:r>
    <w:r>
      <w:rPr>
        <w:color w:val="000000"/>
        <w:sz w:val="27"/>
        <w:szCs w:val="27"/>
      </w:rPr>
      <w:t xml:space="preserve"> </w:t>
    </w:r>
  </w:p>
  <w:p w:rsidR="0068628B" w:rsidRDefault="0068628B" w:rsidP="00201296">
    <w:pPr>
      <w:pStyle w:val="Piedepgina"/>
      <w:jc w:val="center"/>
    </w:pPr>
    <w:r>
      <w:rPr>
        <w:rFonts w:ascii="GillSansMT" w:hAnsi="GillSansMT" w:cs="GillSansMT"/>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31C" w:rsidRDefault="008F231C" w:rsidP="00201296">
      <w:pPr>
        <w:spacing w:after="0" w:line="240" w:lineRule="auto"/>
      </w:pPr>
      <w:r>
        <w:separator/>
      </w:r>
    </w:p>
  </w:footnote>
  <w:footnote w:type="continuationSeparator" w:id="0">
    <w:p w:rsidR="008F231C" w:rsidRDefault="008F231C" w:rsidP="00201296">
      <w:pPr>
        <w:spacing w:after="0" w:line="240" w:lineRule="auto"/>
      </w:pPr>
      <w:r>
        <w:continuationSeparator/>
      </w:r>
    </w:p>
  </w:footnote>
  <w:footnote w:id="1">
    <w:p w:rsidR="004B04E6" w:rsidRPr="00C346C7" w:rsidRDefault="004B04E6" w:rsidP="004B04E6">
      <w:pPr>
        <w:pStyle w:val="NormalWeb"/>
        <w:spacing w:before="0" w:beforeAutospacing="0" w:after="0" w:afterAutospacing="0"/>
        <w:jc w:val="both"/>
        <w:rPr>
          <w:rFonts w:ascii="Arial Narrow" w:hAnsi="Arial Narrow"/>
          <w:sz w:val="18"/>
          <w:szCs w:val="18"/>
        </w:rPr>
      </w:pPr>
      <w:r>
        <w:rPr>
          <w:rStyle w:val="Refdenotaalpie"/>
        </w:rPr>
        <w:footnoteRef/>
      </w:r>
      <w:r>
        <w:t xml:space="preserve"> </w:t>
      </w:r>
      <w:hyperlink r:id="rId1" w:history="1">
        <w:r w:rsidRPr="00C346C7">
          <w:rPr>
            <w:rStyle w:val="Hipervnculo"/>
            <w:rFonts w:ascii="Arial Narrow" w:hAnsi="Arial Narrow"/>
            <w:sz w:val="18"/>
            <w:szCs w:val="18"/>
          </w:rPr>
          <w:t>http://www.ecopetrol.com.co/documentos/consolidado.pdf</w:t>
        </w:r>
      </w:hyperlink>
    </w:p>
    <w:p w:rsidR="004B04E6" w:rsidRDefault="004B04E6" w:rsidP="004B04E6">
      <w:pPr>
        <w:pStyle w:val="Textonotapie"/>
      </w:pPr>
    </w:p>
  </w:footnote>
  <w:footnote w:id="2">
    <w:p w:rsidR="004B04E6" w:rsidRDefault="004B04E6" w:rsidP="004B04E6">
      <w:pPr>
        <w:pStyle w:val="Textonotapie"/>
      </w:pPr>
      <w:r>
        <w:rPr>
          <w:rStyle w:val="Refdenotaalpie"/>
        </w:rPr>
        <w:footnoteRef/>
      </w:r>
      <w:r>
        <w:t xml:space="preserve"> </w:t>
      </w:r>
      <w:r w:rsidRPr="008771AC">
        <w:t>http://www.elespectador.com/economia/colombia-dejo-de-ejecutar-mas-de-10-billones-de-regalias-contraloria-articulo-709089</w:t>
      </w:r>
    </w:p>
  </w:footnote>
  <w:footnote w:id="3">
    <w:p w:rsidR="004B04E6" w:rsidRPr="006007AF" w:rsidRDefault="004B04E6" w:rsidP="004B04E6">
      <w:pPr>
        <w:pStyle w:val="Textonotapie"/>
        <w:rPr>
          <w:rFonts w:ascii="Arial Narrow" w:hAnsi="Arial Narrow"/>
          <w:sz w:val="18"/>
          <w:szCs w:val="18"/>
        </w:rPr>
      </w:pPr>
      <w:r w:rsidRPr="006007AF">
        <w:rPr>
          <w:rStyle w:val="Refdenotaalpie"/>
          <w:rFonts w:ascii="Arial Narrow" w:hAnsi="Arial Narrow"/>
          <w:sz w:val="18"/>
          <w:szCs w:val="18"/>
        </w:rPr>
        <w:footnoteRef/>
      </w:r>
      <w:r w:rsidRPr="006007AF">
        <w:rPr>
          <w:rFonts w:ascii="Arial Narrow" w:hAnsi="Arial Narrow"/>
          <w:sz w:val="18"/>
          <w:szCs w:val="18"/>
        </w:rPr>
        <w:t xml:space="preserve"> http://www.laopinion.com.co/colombia/costo-de-la-corrupcion-en-reficar-es-de-610140-millones-132324</w:t>
      </w:r>
    </w:p>
  </w:footnote>
  <w:footnote w:id="4">
    <w:p w:rsidR="004B04E6" w:rsidRPr="006007AF" w:rsidRDefault="004B04E6" w:rsidP="004B04E6">
      <w:pPr>
        <w:pStyle w:val="Textonotapie"/>
        <w:rPr>
          <w:rFonts w:ascii="Arial Narrow" w:hAnsi="Arial Narrow"/>
          <w:sz w:val="18"/>
          <w:szCs w:val="18"/>
        </w:rPr>
      </w:pPr>
      <w:r w:rsidRPr="006007AF">
        <w:rPr>
          <w:rStyle w:val="Refdenotaalpie"/>
          <w:rFonts w:ascii="Arial Narrow" w:hAnsi="Arial Narrow"/>
          <w:sz w:val="18"/>
          <w:szCs w:val="18"/>
        </w:rPr>
        <w:footnoteRef/>
      </w:r>
      <w:r w:rsidRPr="006007AF">
        <w:rPr>
          <w:rFonts w:ascii="Arial Narrow" w:hAnsi="Arial Narrow"/>
          <w:sz w:val="18"/>
          <w:szCs w:val="18"/>
        </w:rPr>
        <w:t xml:space="preserve"> http://www.semana.com/mundo/articulo/odebrecht-11-millones-de-dolares-en-sobornos-en-colombia/510210</w:t>
      </w:r>
    </w:p>
  </w:footnote>
  <w:footnote w:id="5">
    <w:p w:rsidR="004B04E6" w:rsidRPr="00553172" w:rsidRDefault="004B04E6" w:rsidP="004B04E6">
      <w:pPr>
        <w:pStyle w:val="Textonotapie"/>
        <w:rPr>
          <w:rFonts w:ascii="Arial Narrow" w:hAnsi="Arial Narrow"/>
          <w:sz w:val="18"/>
          <w:szCs w:val="18"/>
        </w:rPr>
      </w:pPr>
      <w:r w:rsidRPr="00553172">
        <w:rPr>
          <w:rStyle w:val="Refdenotaalpie"/>
          <w:rFonts w:ascii="Arial Narrow" w:hAnsi="Arial Narrow"/>
          <w:sz w:val="18"/>
          <w:szCs w:val="18"/>
        </w:rPr>
        <w:footnoteRef/>
      </w:r>
      <w:r w:rsidRPr="00553172">
        <w:rPr>
          <w:rFonts w:ascii="Arial Narrow" w:hAnsi="Arial Narrow"/>
          <w:sz w:val="18"/>
          <w:szCs w:val="18"/>
        </w:rPr>
        <w:t xml:space="preserve"> http://www.eltiempo.com/justicia/delitos/precio-de-la-corrupcion-en-colombia-61749</w:t>
      </w:r>
    </w:p>
  </w:footnote>
  <w:footnote w:id="6">
    <w:p w:rsidR="004B04E6" w:rsidRDefault="004B04E6" w:rsidP="004B04E6">
      <w:pPr>
        <w:pStyle w:val="Textonotapie"/>
      </w:pPr>
      <w:r>
        <w:rPr>
          <w:rStyle w:val="Refdenotaalpie"/>
        </w:rPr>
        <w:footnoteRef/>
      </w:r>
      <w:r>
        <w:t xml:space="preserve"> </w:t>
      </w:r>
      <w:hyperlink r:id="rId2" w:history="1">
        <w:r w:rsidRPr="00E01989">
          <w:rPr>
            <w:rStyle w:val="Hipervnculo"/>
            <w:rFonts w:ascii="Arial Narrow" w:hAnsi="Arial Narrow"/>
            <w:sz w:val="18"/>
            <w:szCs w:val="18"/>
          </w:rPr>
          <w:t>http://www.upme.gov.co/generadorconsultas/Consulta_Series.aspx?idModulo=3&amp;tipoSerie=138</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28B" w:rsidRDefault="00BF6E2F" w:rsidP="00471D39">
    <w:pPr>
      <w:pStyle w:val="Encabezado"/>
      <w:jc w:val="center"/>
    </w:pPr>
    <w:r>
      <w:rPr>
        <w:noProof/>
        <w:lang w:eastAsia="es-CO"/>
      </w:rPr>
      <w:drawing>
        <wp:inline distT="0" distB="0" distL="0" distR="0">
          <wp:extent cx="2838450" cy="838200"/>
          <wp:effectExtent l="0" t="0" r="0" b="0"/>
          <wp:docPr id="1" name="Imagen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838200"/>
                  </a:xfrm>
                  <a:prstGeom prst="rect">
                    <a:avLst/>
                  </a:prstGeom>
                  <a:noFill/>
                  <a:ln>
                    <a:noFill/>
                  </a:ln>
                </pic:spPr>
              </pic:pic>
            </a:graphicData>
          </a:graphic>
        </wp:inline>
      </w:drawing>
    </w:r>
  </w:p>
  <w:p w:rsidR="0068628B" w:rsidRPr="00AD46B2" w:rsidRDefault="00BF6E2F" w:rsidP="00201296">
    <w:pPr>
      <w:pStyle w:val="Encabezado"/>
      <w:jc w:val="center"/>
      <w:rPr>
        <w:rFonts w:ascii="Lucida Calligraphy" w:hAnsi="Lucida Calligraphy"/>
        <w:b/>
        <w:sz w:val="24"/>
        <w:szCs w:val="24"/>
      </w:rPr>
    </w:pPr>
    <w:r w:rsidRPr="00AD46B2">
      <w:rPr>
        <w:rFonts w:ascii="Lucida Calligraphy" w:hAnsi="Lucida Calligraphy"/>
        <w:b/>
        <w:sz w:val="24"/>
        <w:szCs w:val="24"/>
      </w:rPr>
      <w:t>Cesar Ortiz Zorro</w:t>
    </w:r>
  </w:p>
  <w:p w:rsidR="0068628B" w:rsidRDefault="0068628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3307"/>
    <w:multiLevelType w:val="hybridMultilevel"/>
    <w:tmpl w:val="84DA42D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5A25A22"/>
    <w:multiLevelType w:val="hybridMultilevel"/>
    <w:tmpl w:val="05CE01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B572C79"/>
    <w:multiLevelType w:val="hybridMultilevel"/>
    <w:tmpl w:val="C2D886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CD27736"/>
    <w:multiLevelType w:val="hybridMultilevel"/>
    <w:tmpl w:val="56A43E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0E143D16"/>
    <w:multiLevelType w:val="multilevel"/>
    <w:tmpl w:val="799E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05848"/>
    <w:multiLevelType w:val="hybridMultilevel"/>
    <w:tmpl w:val="04FA2CA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1C0343A"/>
    <w:multiLevelType w:val="hybridMultilevel"/>
    <w:tmpl w:val="AD8EA3F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2CB3036"/>
    <w:multiLevelType w:val="hybridMultilevel"/>
    <w:tmpl w:val="635E983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6D52306"/>
    <w:multiLevelType w:val="hybridMultilevel"/>
    <w:tmpl w:val="C2F25A78"/>
    <w:lvl w:ilvl="0" w:tplc="E7982E84">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C53583E"/>
    <w:multiLevelType w:val="hybridMultilevel"/>
    <w:tmpl w:val="191486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29C945FE"/>
    <w:multiLevelType w:val="hybridMultilevel"/>
    <w:tmpl w:val="D944A50E"/>
    <w:lvl w:ilvl="0" w:tplc="9F02AF04">
      <w:start w:val="1"/>
      <w:numFmt w:val="bullet"/>
      <w:lvlText w:val="•"/>
      <w:lvlJc w:val="left"/>
      <w:pPr>
        <w:tabs>
          <w:tab w:val="num" w:pos="720"/>
        </w:tabs>
        <w:ind w:left="720" w:hanging="360"/>
      </w:pPr>
      <w:rPr>
        <w:rFonts w:ascii="Arial" w:hAnsi="Arial" w:hint="default"/>
      </w:rPr>
    </w:lvl>
    <w:lvl w:ilvl="1" w:tplc="A31A9E18" w:tentative="1">
      <w:start w:val="1"/>
      <w:numFmt w:val="bullet"/>
      <w:lvlText w:val="•"/>
      <w:lvlJc w:val="left"/>
      <w:pPr>
        <w:tabs>
          <w:tab w:val="num" w:pos="1440"/>
        </w:tabs>
        <w:ind w:left="1440" w:hanging="360"/>
      </w:pPr>
      <w:rPr>
        <w:rFonts w:ascii="Arial" w:hAnsi="Arial" w:hint="default"/>
      </w:rPr>
    </w:lvl>
    <w:lvl w:ilvl="2" w:tplc="A720FCA4" w:tentative="1">
      <w:start w:val="1"/>
      <w:numFmt w:val="bullet"/>
      <w:lvlText w:val="•"/>
      <w:lvlJc w:val="left"/>
      <w:pPr>
        <w:tabs>
          <w:tab w:val="num" w:pos="2160"/>
        </w:tabs>
        <w:ind w:left="2160" w:hanging="360"/>
      </w:pPr>
      <w:rPr>
        <w:rFonts w:ascii="Arial" w:hAnsi="Arial" w:hint="default"/>
      </w:rPr>
    </w:lvl>
    <w:lvl w:ilvl="3" w:tplc="B7B076D6" w:tentative="1">
      <w:start w:val="1"/>
      <w:numFmt w:val="bullet"/>
      <w:lvlText w:val="•"/>
      <w:lvlJc w:val="left"/>
      <w:pPr>
        <w:tabs>
          <w:tab w:val="num" w:pos="2880"/>
        </w:tabs>
        <w:ind w:left="2880" w:hanging="360"/>
      </w:pPr>
      <w:rPr>
        <w:rFonts w:ascii="Arial" w:hAnsi="Arial" w:hint="default"/>
      </w:rPr>
    </w:lvl>
    <w:lvl w:ilvl="4" w:tplc="6FA21B70" w:tentative="1">
      <w:start w:val="1"/>
      <w:numFmt w:val="bullet"/>
      <w:lvlText w:val="•"/>
      <w:lvlJc w:val="left"/>
      <w:pPr>
        <w:tabs>
          <w:tab w:val="num" w:pos="3600"/>
        </w:tabs>
        <w:ind w:left="3600" w:hanging="360"/>
      </w:pPr>
      <w:rPr>
        <w:rFonts w:ascii="Arial" w:hAnsi="Arial" w:hint="default"/>
      </w:rPr>
    </w:lvl>
    <w:lvl w:ilvl="5" w:tplc="E20A2364" w:tentative="1">
      <w:start w:val="1"/>
      <w:numFmt w:val="bullet"/>
      <w:lvlText w:val="•"/>
      <w:lvlJc w:val="left"/>
      <w:pPr>
        <w:tabs>
          <w:tab w:val="num" w:pos="4320"/>
        </w:tabs>
        <w:ind w:left="4320" w:hanging="360"/>
      </w:pPr>
      <w:rPr>
        <w:rFonts w:ascii="Arial" w:hAnsi="Arial" w:hint="default"/>
      </w:rPr>
    </w:lvl>
    <w:lvl w:ilvl="6" w:tplc="3BFA6C58" w:tentative="1">
      <w:start w:val="1"/>
      <w:numFmt w:val="bullet"/>
      <w:lvlText w:val="•"/>
      <w:lvlJc w:val="left"/>
      <w:pPr>
        <w:tabs>
          <w:tab w:val="num" w:pos="5040"/>
        </w:tabs>
        <w:ind w:left="5040" w:hanging="360"/>
      </w:pPr>
      <w:rPr>
        <w:rFonts w:ascii="Arial" w:hAnsi="Arial" w:hint="default"/>
      </w:rPr>
    </w:lvl>
    <w:lvl w:ilvl="7" w:tplc="D6C858A4" w:tentative="1">
      <w:start w:val="1"/>
      <w:numFmt w:val="bullet"/>
      <w:lvlText w:val="•"/>
      <w:lvlJc w:val="left"/>
      <w:pPr>
        <w:tabs>
          <w:tab w:val="num" w:pos="5760"/>
        </w:tabs>
        <w:ind w:left="5760" w:hanging="360"/>
      </w:pPr>
      <w:rPr>
        <w:rFonts w:ascii="Arial" w:hAnsi="Arial" w:hint="default"/>
      </w:rPr>
    </w:lvl>
    <w:lvl w:ilvl="8" w:tplc="E004B89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2D35B8"/>
    <w:multiLevelType w:val="hybridMultilevel"/>
    <w:tmpl w:val="1CA89DD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A506CCF"/>
    <w:multiLevelType w:val="hybridMultilevel"/>
    <w:tmpl w:val="254ACB8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A565DA6"/>
    <w:multiLevelType w:val="hybridMultilevel"/>
    <w:tmpl w:val="721632A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CAE5685"/>
    <w:multiLevelType w:val="multilevel"/>
    <w:tmpl w:val="F524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5E769A"/>
    <w:multiLevelType w:val="hybridMultilevel"/>
    <w:tmpl w:val="A600DB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FC57BF"/>
    <w:multiLevelType w:val="hybridMultilevel"/>
    <w:tmpl w:val="D80E1FF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972078B"/>
    <w:multiLevelType w:val="hybridMultilevel"/>
    <w:tmpl w:val="4AFC0F3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3D425602"/>
    <w:multiLevelType w:val="hybridMultilevel"/>
    <w:tmpl w:val="DDB29BC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3F973403"/>
    <w:multiLevelType w:val="hybridMultilevel"/>
    <w:tmpl w:val="164A6F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FDD39EC"/>
    <w:multiLevelType w:val="hybridMultilevel"/>
    <w:tmpl w:val="B94AD3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54E0669"/>
    <w:multiLevelType w:val="hybridMultilevel"/>
    <w:tmpl w:val="440E54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54341FEF"/>
    <w:multiLevelType w:val="hybridMultilevel"/>
    <w:tmpl w:val="8086FA9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595D096C"/>
    <w:multiLevelType w:val="hybridMultilevel"/>
    <w:tmpl w:val="4C801E06"/>
    <w:lvl w:ilvl="0" w:tplc="11961102">
      <w:start w:val="1"/>
      <w:numFmt w:val="bullet"/>
      <w:lvlText w:val="•"/>
      <w:lvlJc w:val="left"/>
      <w:pPr>
        <w:tabs>
          <w:tab w:val="num" w:pos="720"/>
        </w:tabs>
        <w:ind w:left="720" w:hanging="360"/>
      </w:pPr>
      <w:rPr>
        <w:rFonts w:ascii="Arial" w:hAnsi="Arial" w:hint="default"/>
      </w:rPr>
    </w:lvl>
    <w:lvl w:ilvl="1" w:tplc="CB2AB154" w:tentative="1">
      <w:start w:val="1"/>
      <w:numFmt w:val="bullet"/>
      <w:lvlText w:val="•"/>
      <w:lvlJc w:val="left"/>
      <w:pPr>
        <w:tabs>
          <w:tab w:val="num" w:pos="1440"/>
        </w:tabs>
        <w:ind w:left="1440" w:hanging="360"/>
      </w:pPr>
      <w:rPr>
        <w:rFonts w:ascii="Arial" w:hAnsi="Arial" w:hint="default"/>
      </w:rPr>
    </w:lvl>
    <w:lvl w:ilvl="2" w:tplc="9B2EA7A4" w:tentative="1">
      <w:start w:val="1"/>
      <w:numFmt w:val="bullet"/>
      <w:lvlText w:val="•"/>
      <w:lvlJc w:val="left"/>
      <w:pPr>
        <w:tabs>
          <w:tab w:val="num" w:pos="2160"/>
        </w:tabs>
        <w:ind w:left="2160" w:hanging="360"/>
      </w:pPr>
      <w:rPr>
        <w:rFonts w:ascii="Arial" w:hAnsi="Arial" w:hint="default"/>
      </w:rPr>
    </w:lvl>
    <w:lvl w:ilvl="3" w:tplc="BCD6F0DE" w:tentative="1">
      <w:start w:val="1"/>
      <w:numFmt w:val="bullet"/>
      <w:lvlText w:val="•"/>
      <w:lvlJc w:val="left"/>
      <w:pPr>
        <w:tabs>
          <w:tab w:val="num" w:pos="2880"/>
        </w:tabs>
        <w:ind w:left="2880" w:hanging="360"/>
      </w:pPr>
      <w:rPr>
        <w:rFonts w:ascii="Arial" w:hAnsi="Arial" w:hint="default"/>
      </w:rPr>
    </w:lvl>
    <w:lvl w:ilvl="4" w:tplc="25AE00FC" w:tentative="1">
      <w:start w:val="1"/>
      <w:numFmt w:val="bullet"/>
      <w:lvlText w:val="•"/>
      <w:lvlJc w:val="left"/>
      <w:pPr>
        <w:tabs>
          <w:tab w:val="num" w:pos="3600"/>
        </w:tabs>
        <w:ind w:left="3600" w:hanging="360"/>
      </w:pPr>
      <w:rPr>
        <w:rFonts w:ascii="Arial" w:hAnsi="Arial" w:hint="default"/>
      </w:rPr>
    </w:lvl>
    <w:lvl w:ilvl="5" w:tplc="28940EA8" w:tentative="1">
      <w:start w:val="1"/>
      <w:numFmt w:val="bullet"/>
      <w:lvlText w:val="•"/>
      <w:lvlJc w:val="left"/>
      <w:pPr>
        <w:tabs>
          <w:tab w:val="num" w:pos="4320"/>
        </w:tabs>
        <w:ind w:left="4320" w:hanging="360"/>
      </w:pPr>
      <w:rPr>
        <w:rFonts w:ascii="Arial" w:hAnsi="Arial" w:hint="default"/>
      </w:rPr>
    </w:lvl>
    <w:lvl w:ilvl="6" w:tplc="AB1A6E72" w:tentative="1">
      <w:start w:val="1"/>
      <w:numFmt w:val="bullet"/>
      <w:lvlText w:val="•"/>
      <w:lvlJc w:val="left"/>
      <w:pPr>
        <w:tabs>
          <w:tab w:val="num" w:pos="5040"/>
        </w:tabs>
        <w:ind w:left="5040" w:hanging="360"/>
      </w:pPr>
      <w:rPr>
        <w:rFonts w:ascii="Arial" w:hAnsi="Arial" w:hint="default"/>
      </w:rPr>
    </w:lvl>
    <w:lvl w:ilvl="7" w:tplc="87D8F09E" w:tentative="1">
      <w:start w:val="1"/>
      <w:numFmt w:val="bullet"/>
      <w:lvlText w:val="•"/>
      <w:lvlJc w:val="left"/>
      <w:pPr>
        <w:tabs>
          <w:tab w:val="num" w:pos="5760"/>
        </w:tabs>
        <w:ind w:left="5760" w:hanging="360"/>
      </w:pPr>
      <w:rPr>
        <w:rFonts w:ascii="Arial" w:hAnsi="Arial" w:hint="default"/>
      </w:rPr>
    </w:lvl>
    <w:lvl w:ilvl="8" w:tplc="60949C5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2C148E2"/>
    <w:multiLevelType w:val="hybridMultilevel"/>
    <w:tmpl w:val="AED6E76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63E75621"/>
    <w:multiLevelType w:val="hybridMultilevel"/>
    <w:tmpl w:val="FC422A3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66976F4F"/>
    <w:multiLevelType w:val="hybridMultilevel"/>
    <w:tmpl w:val="D3448E2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677F471E"/>
    <w:multiLevelType w:val="hybridMultilevel"/>
    <w:tmpl w:val="12A2591A"/>
    <w:lvl w:ilvl="0" w:tplc="C6BA69F6">
      <w:start w:val="1"/>
      <w:numFmt w:val="bullet"/>
      <w:lvlText w:val="•"/>
      <w:lvlJc w:val="left"/>
      <w:pPr>
        <w:tabs>
          <w:tab w:val="num" w:pos="360"/>
        </w:tabs>
        <w:ind w:left="360" w:hanging="360"/>
      </w:pPr>
      <w:rPr>
        <w:rFonts w:ascii="Arial" w:hAnsi="Arial" w:hint="default"/>
      </w:rPr>
    </w:lvl>
    <w:lvl w:ilvl="1" w:tplc="83D6155E" w:tentative="1">
      <w:start w:val="1"/>
      <w:numFmt w:val="bullet"/>
      <w:lvlText w:val="•"/>
      <w:lvlJc w:val="left"/>
      <w:pPr>
        <w:tabs>
          <w:tab w:val="num" w:pos="1080"/>
        </w:tabs>
        <w:ind w:left="1080" w:hanging="360"/>
      </w:pPr>
      <w:rPr>
        <w:rFonts w:ascii="Arial" w:hAnsi="Arial" w:hint="default"/>
      </w:rPr>
    </w:lvl>
    <w:lvl w:ilvl="2" w:tplc="1A1637D4" w:tentative="1">
      <w:start w:val="1"/>
      <w:numFmt w:val="bullet"/>
      <w:lvlText w:val="•"/>
      <w:lvlJc w:val="left"/>
      <w:pPr>
        <w:tabs>
          <w:tab w:val="num" w:pos="1800"/>
        </w:tabs>
        <w:ind w:left="1800" w:hanging="360"/>
      </w:pPr>
      <w:rPr>
        <w:rFonts w:ascii="Arial" w:hAnsi="Arial" w:hint="default"/>
      </w:rPr>
    </w:lvl>
    <w:lvl w:ilvl="3" w:tplc="07884FE6" w:tentative="1">
      <w:start w:val="1"/>
      <w:numFmt w:val="bullet"/>
      <w:lvlText w:val="•"/>
      <w:lvlJc w:val="left"/>
      <w:pPr>
        <w:tabs>
          <w:tab w:val="num" w:pos="2520"/>
        </w:tabs>
        <w:ind w:left="2520" w:hanging="360"/>
      </w:pPr>
      <w:rPr>
        <w:rFonts w:ascii="Arial" w:hAnsi="Arial" w:hint="default"/>
      </w:rPr>
    </w:lvl>
    <w:lvl w:ilvl="4" w:tplc="9822C648" w:tentative="1">
      <w:start w:val="1"/>
      <w:numFmt w:val="bullet"/>
      <w:lvlText w:val="•"/>
      <w:lvlJc w:val="left"/>
      <w:pPr>
        <w:tabs>
          <w:tab w:val="num" w:pos="3240"/>
        </w:tabs>
        <w:ind w:left="3240" w:hanging="360"/>
      </w:pPr>
      <w:rPr>
        <w:rFonts w:ascii="Arial" w:hAnsi="Arial" w:hint="default"/>
      </w:rPr>
    </w:lvl>
    <w:lvl w:ilvl="5" w:tplc="3BAEF108" w:tentative="1">
      <w:start w:val="1"/>
      <w:numFmt w:val="bullet"/>
      <w:lvlText w:val="•"/>
      <w:lvlJc w:val="left"/>
      <w:pPr>
        <w:tabs>
          <w:tab w:val="num" w:pos="3960"/>
        </w:tabs>
        <w:ind w:left="3960" w:hanging="360"/>
      </w:pPr>
      <w:rPr>
        <w:rFonts w:ascii="Arial" w:hAnsi="Arial" w:hint="default"/>
      </w:rPr>
    </w:lvl>
    <w:lvl w:ilvl="6" w:tplc="709EEA14" w:tentative="1">
      <w:start w:val="1"/>
      <w:numFmt w:val="bullet"/>
      <w:lvlText w:val="•"/>
      <w:lvlJc w:val="left"/>
      <w:pPr>
        <w:tabs>
          <w:tab w:val="num" w:pos="4680"/>
        </w:tabs>
        <w:ind w:left="4680" w:hanging="360"/>
      </w:pPr>
      <w:rPr>
        <w:rFonts w:ascii="Arial" w:hAnsi="Arial" w:hint="default"/>
      </w:rPr>
    </w:lvl>
    <w:lvl w:ilvl="7" w:tplc="ABF2F9B0" w:tentative="1">
      <w:start w:val="1"/>
      <w:numFmt w:val="bullet"/>
      <w:lvlText w:val="•"/>
      <w:lvlJc w:val="left"/>
      <w:pPr>
        <w:tabs>
          <w:tab w:val="num" w:pos="5400"/>
        </w:tabs>
        <w:ind w:left="5400" w:hanging="360"/>
      </w:pPr>
      <w:rPr>
        <w:rFonts w:ascii="Arial" w:hAnsi="Arial" w:hint="default"/>
      </w:rPr>
    </w:lvl>
    <w:lvl w:ilvl="8" w:tplc="7EF4DC76"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69175C76"/>
    <w:multiLevelType w:val="hybridMultilevel"/>
    <w:tmpl w:val="C3AAD9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71976EA6"/>
    <w:multiLevelType w:val="hybridMultilevel"/>
    <w:tmpl w:val="27400BE2"/>
    <w:lvl w:ilvl="0" w:tplc="240A000F">
      <w:start w:val="1"/>
      <w:numFmt w:val="decimal"/>
      <w:lvlText w:val="%1."/>
      <w:lvlJc w:val="left"/>
      <w:pPr>
        <w:ind w:left="880" w:hanging="360"/>
      </w:pPr>
    </w:lvl>
    <w:lvl w:ilvl="1" w:tplc="240A0019">
      <w:start w:val="1"/>
      <w:numFmt w:val="lowerLetter"/>
      <w:lvlText w:val="%2."/>
      <w:lvlJc w:val="left"/>
      <w:pPr>
        <w:ind w:left="1600" w:hanging="360"/>
      </w:pPr>
    </w:lvl>
    <w:lvl w:ilvl="2" w:tplc="240A001B" w:tentative="1">
      <w:start w:val="1"/>
      <w:numFmt w:val="lowerRoman"/>
      <w:lvlText w:val="%3."/>
      <w:lvlJc w:val="right"/>
      <w:pPr>
        <w:ind w:left="2320" w:hanging="180"/>
      </w:pPr>
    </w:lvl>
    <w:lvl w:ilvl="3" w:tplc="240A000F" w:tentative="1">
      <w:start w:val="1"/>
      <w:numFmt w:val="decimal"/>
      <w:lvlText w:val="%4."/>
      <w:lvlJc w:val="left"/>
      <w:pPr>
        <w:ind w:left="3040" w:hanging="360"/>
      </w:pPr>
    </w:lvl>
    <w:lvl w:ilvl="4" w:tplc="240A0019" w:tentative="1">
      <w:start w:val="1"/>
      <w:numFmt w:val="lowerLetter"/>
      <w:lvlText w:val="%5."/>
      <w:lvlJc w:val="left"/>
      <w:pPr>
        <w:ind w:left="3760" w:hanging="360"/>
      </w:pPr>
    </w:lvl>
    <w:lvl w:ilvl="5" w:tplc="240A001B" w:tentative="1">
      <w:start w:val="1"/>
      <w:numFmt w:val="lowerRoman"/>
      <w:lvlText w:val="%6."/>
      <w:lvlJc w:val="right"/>
      <w:pPr>
        <w:ind w:left="4480" w:hanging="180"/>
      </w:pPr>
    </w:lvl>
    <w:lvl w:ilvl="6" w:tplc="240A000F" w:tentative="1">
      <w:start w:val="1"/>
      <w:numFmt w:val="decimal"/>
      <w:lvlText w:val="%7."/>
      <w:lvlJc w:val="left"/>
      <w:pPr>
        <w:ind w:left="5200" w:hanging="360"/>
      </w:pPr>
    </w:lvl>
    <w:lvl w:ilvl="7" w:tplc="240A0019" w:tentative="1">
      <w:start w:val="1"/>
      <w:numFmt w:val="lowerLetter"/>
      <w:lvlText w:val="%8."/>
      <w:lvlJc w:val="left"/>
      <w:pPr>
        <w:ind w:left="5920" w:hanging="360"/>
      </w:pPr>
    </w:lvl>
    <w:lvl w:ilvl="8" w:tplc="240A001B" w:tentative="1">
      <w:start w:val="1"/>
      <w:numFmt w:val="lowerRoman"/>
      <w:lvlText w:val="%9."/>
      <w:lvlJc w:val="right"/>
      <w:pPr>
        <w:ind w:left="6640" w:hanging="180"/>
      </w:pPr>
    </w:lvl>
  </w:abstractNum>
  <w:abstractNum w:abstractNumId="30" w15:restartNumberingAfterBreak="0">
    <w:nsid w:val="72AC0373"/>
    <w:multiLevelType w:val="hybridMultilevel"/>
    <w:tmpl w:val="D488DED2"/>
    <w:lvl w:ilvl="0" w:tplc="8D1C057C">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73606792"/>
    <w:multiLevelType w:val="hybridMultilevel"/>
    <w:tmpl w:val="1AEAEBAC"/>
    <w:lvl w:ilvl="0" w:tplc="CE9AA6F8">
      <w:start w:val="1"/>
      <w:numFmt w:val="bullet"/>
      <w:lvlText w:val="•"/>
      <w:lvlJc w:val="left"/>
      <w:pPr>
        <w:tabs>
          <w:tab w:val="num" w:pos="720"/>
        </w:tabs>
        <w:ind w:left="720" w:hanging="360"/>
      </w:pPr>
      <w:rPr>
        <w:rFonts w:ascii="Arial" w:hAnsi="Arial" w:hint="default"/>
      </w:rPr>
    </w:lvl>
    <w:lvl w:ilvl="1" w:tplc="F8FC5DB2" w:tentative="1">
      <w:start w:val="1"/>
      <w:numFmt w:val="bullet"/>
      <w:lvlText w:val="•"/>
      <w:lvlJc w:val="left"/>
      <w:pPr>
        <w:tabs>
          <w:tab w:val="num" w:pos="1440"/>
        </w:tabs>
        <w:ind w:left="1440" w:hanging="360"/>
      </w:pPr>
      <w:rPr>
        <w:rFonts w:ascii="Arial" w:hAnsi="Arial" w:hint="default"/>
      </w:rPr>
    </w:lvl>
    <w:lvl w:ilvl="2" w:tplc="D7CA0C32" w:tentative="1">
      <w:start w:val="1"/>
      <w:numFmt w:val="bullet"/>
      <w:lvlText w:val="•"/>
      <w:lvlJc w:val="left"/>
      <w:pPr>
        <w:tabs>
          <w:tab w:val="num" w:pos="2160"/>
        </w:tabs>
        <w:ind w:left="2160" w:hanging="360"/>
      </w:pPr>
      <w:rPr>
        <w:rFonts w:ascii="Arial" w:hAnsi="Arial" w:hint="default"/>
      </w:rPr>
    </w:lvl>
    <w:lvl w:ilvl="3" w:tplc="22020482" w:tentative="1">
      <w:start w:val="1"/>
      <w:numFmt w:val="bullet"/>
      <w:lvlText w:val="•"/>
      <w:lvlJc w:val="left"/>
      <w:pPr>
        <w:tabs>
          <w:tab w:val="num" w:pos="2880"/>
        </w:tabs>
        <w:ind w:left="2880" w:hanging="360"/>
      </w:pPr>
      <w:rPr>
        <w:rFonts w:ascii="Arial" w:hAnsi="Arial" w:hint="default"/>
      </w:rPr>
    </w:lvl>
    <w:lvl w:ilvl="4" w:tplc="70E0D428" w:tentative="1">
      <w:start w:val="1"/>
      <w:numFmt w:val="bullet"/>
      <w:lvlText w:val="•"/>
      <w:lvlJc w:val="left"/>
      <w:pPr>
        <w:tabs>
          <w:tab w:val="num" w:pos="3600"/>
        </w:tabs>
        <w:ind w:left="3600" w:hanging="360"/>
      </w:pPr>
      <w:rPr>
        <w:rFonts w:ascii="Arial" w:hAnsi="Arial" w:hint="default"/>
      </w:rPr>
    </w:lvl>
    <w:lvl w:ilvl="5" w:tplc="7DEC4C5A" w:tentative="1">
      <w:start w:val="1"/>
      <w:numFmt w:val="bullet"/>
      <w:lvlText w:val="•"/>
      <w:lvlJc w:val="left"/>
      <w:pPr>
        <w:tabs>
          <w:tab w:val="num" w:pos="4320"/>
        </w:tabs>
        <w:ind w:left="4320" w:hanging="360"/>
      </w:pPr>
      <w:rPr>
        <w:rFonts w:ascii="Arial" w:hAnsi="Arial" w:hint="default"/>
      </w:rPr>
    </w:lvl>
    <w:lvl w:ilvl="6" w:tplc="A2ECAA70" w:tentative="1">
      <w:start w:val="1"/>
      <w:numFmt w:val="bullet"/>
      <w:lvlText w:val="•"/>
      <w:lvlJc w:val="left"/>
      <w:pPr>
        <w:tabs>
          <w:tab w:val="num" w:pos="5040"/>
        </w:tabs>
        <w:ind w:left="5040" w:hanging="360"/>
      </w:pPr>
      <w:rPr>
        <w:rFonts w:ascii="Arial" w:hAnsi="Arial" w:hint="default"/>
      </w:rPr>
    </w:lvl>
    <w:lvl w:ilvl="7" w:tplc="3C12CB2E" w:tentative="1">
      <w:start w:val="1"/>
      <w:numFmt w:val="bullet"/>
      <w:lvlText w:val="•"/>
      <w:lvlJc w:val="left"/>
      <w:pPr>
        <w:tabs>
          <w:tab w:val="num" w:pos="5760"/>
        </w:tabs>
        <w:ind w:left="5760" w:hanging="360"/>
      </w:pPr>
      <w:rPr>
        <w:rFonts w:ascii="Arial" w:hAnsi="Arial" w:hint="default"/>
      </w:rPr>
    </w:lvl>
    <w:lvl w:ilvl="8" w:tplc="4EC696C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4C62F2D"/>
    <w:multiLevelType w:val="hybridMultilevel"/>
    <w:tmpl w:val="B3BE2B80"/>
    <w:lvl w:ilvl="0" w:tplc="82FC78EE">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33" w15:restartNumberingAfterBreak="0">
    <w:nsid w:val="754C290B"/>
    <w:multiLevelType w:val="hybridMultilevel"/>
    <w:tmpl w:val="ABFE9F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8385503"/>
    <w:multiLevelType w:val="hybridMultilevel"/>
    <w:tmpl w:val="434E763C"/>
    <w:lvl w:ilvl="0" w:tplc="71008544">
      <w:start w:val="1"/>
      <w:numFmt w:val="bullet"/>
      <w:lvlText w:val="•"/>
      <w:lvlJc w:val="left"/>
      <w:pPr>
        <w:tabs>
          <w:tab w:val="num" w:pos="720"/>
        </w:tabs>
        <w:ind w:left="720" w:hanging="360"/>
      </w:pPr>
      <w:rPr>
        <w:rFonts w:ascii="Arial" w:hAnsi="Arial" w:hint="default"/>
      </w:rPr>
    </w:lvl>
    <w:lvl w:ilvl="1" w:tplc="0AEC5592" w:tentative="1">
      <w:start w:val="1"/>
      <w:numFmt w:val="bullet"/>
      <w:lvlText w:val="•"/>
      <w:lvlJc w:val="left"/>
      <w:pPr>
        <w:tabs>
          <w:tab w:val="num" w:pos="1440"/>
        </w:tabs>
        <w:ind w:left="1440" w:hanging="360"/>
      </w:pPr>
      <w:rPr>
        <w:rFonts w:ascii="Arial" w:hAnsi="Arial" w:hint="default"/>
      </w:rPr>
    </w:lvl>
    <w:lvl w:ilvl="2" w:tplc="5AB2F6CA" w:tentative="1">
      <w:start w:val="1"/>
      <w:numFmt w:val="bullet"/>
      <w:lvlText w:val="•"/>
      <w:lvlJc w:val="left"/>
      <w:pPr>
        <w:tabs>
          <w:tab w:val="num" w:pos="2160"/>
        </w:tabs>
        <w:ind w:left="2160" w:hanging="360"/>
      </w:pPr>
      <w:rPr>
        <w:rFonts w:ascii="Arial" w:hAnsi="Arial" w:hint="default"/>
      </w:rPr>
    </w:lvl>
    <w:lvl w:ilvl="3" w:tplc="246C9ED6" w:tentative="1">
      <w:start w:val="1"/>
      <w:numFmt w:val="bullet"/>
      <w:lvlText w:val="•"/>
      <w:lvlJc w:val="left"/>
      <w:pPr>
        <w:tabs>
          <w:tab w:val="num" w:pos="2880"/>
        </w:tabs>
        <w:ind w:left="2880" w:hanging="360"/>
      </w:pPr>
      <w:rPr>
        <w:rFonts w:ascii="Arial" w:hAnsi="Arial" w:hint="default"/>
      </w:rPr>
    </w:lvl>
    <w:lvl w:ilvl="4" w:tplc="E918FA40" w:tentative="1">
      <w:start w:val="1"/>
      <w:numFmt w:val="bullet"/>
      <w:lvlText w:val="•"/>
      <w:lvlJc w:val="left"/>
      <w:pPr>
        <w:tabs>
          <w:tab w:val="num" w:pos="3600"/>
        </w:tabs>
        <w:ind w:left="3600" w:hanging="360"/>
      </w:pPr>
      <w:rPr>
        <w:rFonts w:ascii="Arial" w:hAnsi="Arial" w:hint="default"/>
      </w:rPr>
    </w:lvl>
    <w:lvl w:ilvl="5" w:tplc="13982172" w:tentative="1">
      <w:start w:val="1"/>
      <w:numFmt w:val="bullet"/>
      <w:lvlText w:val="•"/>
      <w:lvlJc w:val="left"/>
      <w:pPr>
        <w:tabs>
          <w:tab w:val="num" w:pos="4320"/>
        </w:tabs>
        <w:ind w:left="4320" w:hanging="360"/>
      </w:pPr>
      <w:rPr>
        <w:rFonts w:ascii="Arial" w:hAnsi="Arial" w:hint="default"/>
      </w:rPr>
    </w:lvl>
    <w:lvl w:ilvl="6" w:tplc="7AAA6562" w:tentative="1">
      <w:start w:val="1"/>
      <w:numFmt w:val="bullet"/>
      <w:lvlText w:val="•"/>
      <w:lvlJc w:val="left"/>
      <w:pPr>
        <w:tabs>
          <w:tab w:val="num" w:pos="5040"/>
        </w:tabs>
        <w:ind w:left="5040" w:hanging="360"/>
      </w:pPr>
      <w:rPr>
        <w:rFonts w:ascii="Arial" w:hAnsi="Arial" w:hint="default"/>
      </w:rPr>
    </w:lvl>
    <w:lvl w:ilvl="7" w:tplc="D6C27728" w:tentative="1">
      <w:start w:val="1"/>
      <w:numFmt w:val="bullet"/>
      <w:lvlText w:val="•"/>
      <w:lvlJc w:val="left"/>
      <w:pPr>
        <w:tabs>
          <w:tab w:val="num" w:pos="5760"/>
        </w:tabs>
        <w:ind w:left="5760" w:hanging="360"/>
      </w:pPr>
      <w:rPr>
        <w:rFonts w:ascii="Arial" w:hAnsi="Arial" w:hint="default"/>
      </w:rPr>
    </w:lvl>
    <w:lvl w:ilvl="8" w:tplc="BDDC1164"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17"/>
  </w:num>
  <w:num w:numId="3">
    <w:abstractNumId w:val="0"/>
  </w:num>
  <w:num w:numId="4">
    <w:abstractNumId w:val="28"/>
  </w:num>
  <w:num w:numId="5">
    <w:abstractNumId w:val="21"/>
  </w:num>
  <w:num w:numId="6">
    <w:abstractNumId w:val="3"/>
  </w:num>
  <w:num w:numId="7">
    <w:abstractNumId w:val="9"/>
  </w:num>
  <w:num w:numId="8">
    <w:abstractNumId w:val="11"/>
  </w:num>
  <w:num w:numId="9">
    <w:abstractNumId w:val="22"/>
  </w:num>
  <w:num w:numId="10">
    <w:abstractNumId w:val="19"/>
  </w:num>
  <w:num w:numId="11">
    <w:abstractNumId w:val="1"/>
  </w:num>
  <w:num w:numId="12">
    <w:abstractNumId w:val="4"/>
  </w:num>
  <w:num w:numId="13">
    <w:abstractNumId w:val="16"/>
  </w:num>
  <w:num w:numId="14">
    <w:abstractNumId w:val="7"/>
  </w:num>
  <w:num w:numId="15">
    <w:abstractNumId w:val="26"/>
  </w:num>
  <w:num w:numId="16">
    <w:abstractNumId w:val="15"/>
  </w:num>
  <w:num w:numId="17">
    <w:abstractNumId w:val="14"/>
  </w:num>
  <w:num w:numId="18">
    <w:abstractNumId w:val="6"/>
  </w:num>
  <w:num w:numId="19">
    <w:abstractNumId w:val="12"/>
  </w:num>
  <w:num w:numId="20">
    <w:abstractNumId w:val="29"/>
  </w:num>
  <w:num w:numId="21">
    <w:abstractNumId w:val="24"/>
  </w:num>
  <w:num w:numId="22">
    <w:abstractNumId w:val="5"/>
  </w:num>
  <w:num w:numId="23">
    <w:abstractNumId w:val="2"/>
  </w:num>
  <w:num w:numId="24">
    <w:abstractNumId w:val="33"/>
  </w:num>
  <w:num w:numId="25">
    <w:abstractNumId w:val="20"/>
  </w:num>
  <w:num w:numId="26">
    <w:abstractNumId w:val="13"/>
  </w:num>
  <w:num w:numId="27">
    <w:abstractNumId w:val="34"/>
  </w:num>
  <w:num w:numId="28">
    <w:abstractNumId w:val="31"/>
  </w:num>
  <w:num w:numId="29">
    <w:abstractNumId w:val="32"/>
  </w:num>
  <w:num w:numId="30">
    <w:abstractNumId w:val="30"/>
  </w:num>
  <w:num w:numId="31">
    <w:abstractNumId w:val="8"/>
  </w:num>
  <w:num w:numId="32">
    <w:abstractNumId w:val="18"/>
  </w:num>
  <w:num w:numId="33">
    <w:abstractNumId w:val="27"/>
  </w:num>
  <w:num w:numId="34">
    <w:abstractNumId w:val="23"/>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296"/>
    <w:rsid w:val="00004A6F"/>
    <w:rsid w:val="00006AFA"/>
    <w:rsid w:val="00010BAB"/>
    <w:rsid w:val="0001560B"/>
    <w:rsid w:val="00051F09"/>
    <w:rsid w:val="00054205"/>
    <w:rsid w:val="00064360"/>
    <w:rsid w:val="0007322C"/>
    <w:rsid w:val="000A0A36"/>
    <w:rsid w:val="000C5B82"/>
    <w:rsid w:val="00144B4E"/>
    <w:rsid w:val="00145AC9"/>
    <w:rsid w:val="001541C6"/>
    <w:rsid w:val="0017014F"/>
    <w:rsid w:val="00201296"/>
    <w:rsid w:val="0020232E"/>
    <w:rsid w:val="00290131"/>
    <w:rsid w:val="002A3EAD"/>
    <w:rsid w:val="002E0F6C"/>
    <w:rsid w:val="00302C82"/>
    <w:rsid w:val="00315BE4"/>
    <w:rsid w:val="00320FEF"/>
    <w:rsid w:val="00343747"/>
    <w:rsid w:val="003C6179"/>
    <w:rsid w:val="00411E74"/>
    <w:rsid w:val="00451613"/>
    <w:rsid w:val="00471D39"/>
    <w:rsid w:val="0047221E"/>
    <w:rsid w:val="004B04E6"/>
    <w:rsid w:val="004B2198"/>
    <w:rsid w:val="004B3619"/>
    <w:rsid w:val="004D5658"/>
    <w:rsid w:val="005114D9"/>
    <w:rsid w:val="00523970"/>
    <w:rsid w:val="0055608C"/>
    <w:rsid w:val="005A03C6"/>
    <w:rsid w:val="005C74AD"/>
    <w:rsid w:val="006030B2"/>
    <w:rsid w:val="0068628B"/>
    <w:rsid w:val="00691DA5"/>
    <w:rsid w:val="006D7897"/>
    <w:rsid w:val="00702FB1"/>
    <w:rsid w:val="00790BCA"/>
    <w:rsid w:val="007D6E66"/>
    <w:rsid w:val="007D77FB"/>
    <w:rsid w:val="008B6105"/>
    <w:rsid w:val="008F231C"/>
    <w:rsid w:val="008F3F6D"/>
    <w:rsid w:val="0092591F"/>
    <w:rsid w:val="00964BA7"/>
    <w:rsid w:val="009C1DE1"/>
    <w:rsid w:val="009C7063"/>
    <w:rsid w:val="00A251F8"/>
    <w:rsid w:val="00A443A8"/>
    <w:rsid w:val="00A519BB"/>
    <w:rsid w:val="00A54769"/>
    <w:rsid w:val="00A615F4"/>
    <w:rsid w:val="00A9244A"/>
    <w:rsid w:val="00AD46B2"/>
    <w:rsid w:val="00AE2FE6"/>
    <w:rsid w:val="00B37AA6"/>
    <w:rsid w:val="00B65E23"/>
    <w:rsid w:val="00B86391"/>
    <w:rsid w:val="00BC460B"/>
    <w:rsid w:val="00BE6944"/>
    <w:rsid w:val="00BF6E2F"/>
    <w:rsid w:val="00C211FF"/>
    <w:rsid w:val="00C2789E"/>
    <w:rsid w:val="00C64142"/>
    <w:rsid w:val="00C73C5E"/>
    <w:rsid w:val="00C92325"/>
    <w:rsid w:val="00CC4737"/>
    <w:rsid w:val="00CD218E"/>
    <w:rsid w:val="00D849EE"/>
    <w:rsid w:val="00E307A4"/>
    <w:rsid w:val="00E50C45"/>
    <w:rsid w:val="00E760F8"/>
    <w:rsid w:val="00E82566"/>
    <w:rsid w:val="00EF796C"/>
    <w:rsid w:val="00F350F7"/>
    <w:rsid w:val="00F9424B"/>
    <w:rsid w:val="00FA65C6"/>
    <w:rsid w:val="00FC4557"/>
    <w:rsid w:val="00FF2F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9E1F133-941C-4937-B572-C988DC6DB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B04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B04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4B04E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link w:val="Ttulo4Car"/>
    <w:uiPriority w:val="9"/>
    <w:qFormat/>
    <w:rsid w:val="004B04E6"/>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012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01296"/>
    <w:rPr>
      <w:rFonts w:ascii="Tahoma" w:hAnsi="Tahoma" w:cs="Tahoma"/>
      <w:sz w:val="16"/>
      <w:szCs w:val="16"/>
    </w:rPr>
  </w:style>
  <w:style w:type="paragraph" w:styleId="Textonotapie">
    <w:name w:val="footnote text"/>
    <w:basedOn w:val="Normal"/>
    <w:link w:val="TextonotapieCar"/>
    <w:uiPriority w:val="99"/>
    <w:semiHidden/>
    <w:unhideWhenUsed/>
    <w:rsid w:val="0020129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01296"/>
    <w:rPr>
      <w:sz w:val="20"/>
      <w:szCs w:val="20"/>
    </w:rPr>
  </w:style>
  <w:style w:type="character" w:styleId="Refdenotaalpie">
    <w:name w:val="footnote reference"/>
    <w:basedOn w:val="Fuentedeprrafopredeter"/>
    <w:uiPriority w:val="99"/>
    <w:semiHidden/>
    <w:unhideWhenUsed/>
    <w:rsid w:val="00201296"/>
    <w:rPr>
      <w:vertAlign w:val="superscript"/>
    </w:rPr>
  </w:style>
  <w:style w:type="paragraph" w:styleId="Textonotaalfinal">
    <w:name w:val="endnote text"/>
    <w:basedOn w:val="Normal"/>
    <w:link w:val="TextonotaalfinalCar"/>
    <w:uiPriority w:val="99"/>
    <w:semiHidden/>
    <w:unhideWhenUsed/>
    <w:rsid w:val="0020129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01296"/>
    <w:rPr>
      <w:sz w:val="20"/>
      <w:szCs w:val="20"/>
    </w:rPr>
  </w:style>
  <w:style w:type="character" w:styleId="Refdenotaalfinal">
    <w:name w:val="endnote reference"/>
    <w:basedOn w:val="Fuentedeprrafopredeter"/>
    <w:uiPriority w:val="99"/>
    <w:semiHidden/>
    <w:unhideWhenUsed/>
    <w:rsid w:val="00201296"/>
    <w:rPr>
      <w:vertAlign w:val="superscript"/>
    </w:rPr>
  </w:style>
  <w:style w:type="paragraph" w:styleId="Encabezado">
    <w:name w:val="header"/>
    <w:basedOn w:val="Normal"/>
    <w:link w:val="EncabezadoCar"/>
    <w:uiPriority w:val="99"/>
    <w:unhideWhenUsed/>
    <w:rsid w:val="002012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1296"/>
  </w:style>
  <w:style w:type="paragraph" w:styleId="Piedepgina">
    <w:name w:val="footer"/>
    <w:basedOn w:val="Normal"/>
    <w:link w:val="PiedepginaCar"/>
    <w:uiPriority w:val="99"/>
    <w:unhideWhenUsed/>
    <w:rsid w:val="002012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1296"/>
  </w:style>
  <w:style w:type="character" w:styleId="Hipervnculo">
    <w:name w:val="Hyperlink"/>
    <w:basedOn w:val="Fuentedeprrafopredeter"/>
    <w:uiPriority w:val="99"/>
    <w:unhideWhenUsed/>
    <w:rsid w:val="00201296"/>
    <w:rPr>
      <w:color w:val="0000FF" w:themeColor="hyperlink"/>
      <w:u w:val="single"/>
    </w:rPr>
  </w:style>
  <w:style w:type="paragraph" w:styleId="NormalWeb">
    <w:name w:val="Normal (Web)"/>
    <w:basedOn w:val="Normal"/>
    <w:uiPriority w:val="99"/>
    <w:unhideWhenUsed/>
    <w:rsid w:val="00B8639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4B04E6"/>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4B04E6"/>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4B04E6"/>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4B04E6"/>
    <w:rPr>
      <w:rFonts w:ascii="Times New Roman" w:eastAsia="Times New Roman" w:hAnsi="Times New Roman" w:cs="Times New Roman"/>
      <w:b/>
      <w:bCs/>
      <w:sz w:val="24"/>
      <w:szCs w:val="24"/>
      <w:lang w:eastAsia="es-CO"/>
    </w:rPr>
  </w:style>
  <w:style w:type="character" w:customStyle="1" w:styleId="apple-converted-space">
    <w:name w:val="apple-converted-space"/>
    <w:basedOn w:val="Fuentedeprrafopredeter"/>
    <w:rsid w:val="004B04E6"/>
  </w:style>
  <w:style w:type="table" w:styleId="Tablaconcuadrcula">
    <w:name w:val="Table Grid"/>
    <w:basedOn w:val="Tablanormal"/>
    <w:uiPriority w:val="39"/>
    <w:rsid w:val="004B0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B04E6"/>
    <w:pPr>
      <w:spacing w:after="160" w:line="259" w:lineRule="auto"/>
      <w:ind w:left="720"/>
      <w:contextualSpacing/>
    </w:pPr>
  </w:style>
  <w:style w:type="character" w:styleId="Textoennegrita">
    <w:name w:val="Strong"/>
    <w:basedOn w:val="Fuentedeprrafopredeter"/>
    <w:uiPriority w:val="22"/>
    <w:qFormat/>
    <w:rsid w:val="004B04E6"/>
    <w:rPr>
      <w:b/>
      <w:bCs/>
    </w:rPr>
  </w:style>
  <w:style w:type="character" w:styleId="nfasis">
    <w:name w:val="Emphasis"/>
    <w:basedOn w:val="Fuentedeprrafopredeter"/>
    <w:uiPriority w:val="20"/>
    <w:qFormat/>
    <w:rsid w:val="004B04E6"/>
    <w:rPr>
      <w:i/>
      <w:iCs/>
    </w:rPr>
  </w:style>
  <w:style w:type="paragraph" w:styleId="Sinespaciado">
    <w:name w:val="No Spacing"/>
    <w:uiPriority w:val="1"/>
    <w:qFormat/>
    <w:rsid w:val="004B04E6"/>
    <w:pPr>
      <w:spacing w:after="0" w:line="240" w:lineRule="auto"/>
    </w:pPr>
  </w:style>
  <w:style w:type="paragraph" w:styleId="Lista">
    <w:name w:val="List"/>
    <w:basedOn w:val="Normal"/>
    <w:uiPriority w:val="99"/>
    <w:unhideWhenUsed/>
    <w:rsid w:val="004B04E6"/>
    <w:pPr>
      <w:ind w:left="283" w:hanging="283"/>
      <w:contextualSpacing/>
    </w:pPr>
  </w:style>
  <w:style w:type="paragraph" w:styleId="Encabezadodemensaje">
    <w:name w:val="Message Header"/>
    <w:basedOn w:val="Normal"/>
    <w:link w:val="EncabezadodemensajeCar"/>
    <w:uiPriority w:val="99"/>
    <w:unhideWhenUsed/>
    <w:rsid w:val="004B04E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rsid w:val="004B04E6"/>
    <w:rPr>
      <w:rFonts w:asciiTheme="majorHAnsi" w:eastAsiaTheme="majorEastAsia" w:hAnsiTheme="majorHAnsi" w:cstheme="majorBidi"/>
      <w:sz w:val="24"/>
      <w:szCs w:val="24"/>
      <w:shd w:val="pct20" w:color="auto" w:fill="auto"/>
    </w:rPr>
  </w:style>
  <w:style w:type="paragraph" w:styleId="Cierre">
    <w:name w:val="Closing"/>
    <w:basedOn w:val="Normal"/>
    <w:link w:val="CierreCar"/>
    <w:uiPriority w:val="99"/>
    <w:unhideWhenUsed/>
    <w:rsid w:val="004B04E6"/>
    <w:pPr>
      <w:spacing w:after="0" w:line="240" w:lineRule="auto"/>
      <w:ind w:left="4252"/>
    </w:pPr>
  </w:style>
  <w:style w:type="character" w:customStyle="1" w:styleId="CierreCar">
    <w:name w:val="Cierre Car"/>
    <w:basedOn w:val="Fuentedeprrafopredeter"/>
    <w:link w:val="Cierre"/>
    <w:uiPriority w:val="99"/>
    <w:rsid w:val="004B04E6"/>
  </w:style>
  <w:style w:type="paragraph" w:styleId="Firma">
    <w:name w:val="Signature"/>
    <w:basedOn w:val="Normal"/>
    <w:link w:val="FirmaCar"/>
    <w:uiPriority w:val="99"/>
    <w:unhideWhenUsed/>
    <w:rsid w:val="004B04E6"/>
    <w:pPr>
      <w:spacing w:after="0" w:line="240" w:lineRule="auto"/>
      <w:ind w:left="4252"/>
    </w:pPr>
  </w:style>
  <w:style w:type="character" w:customStyle="1" w:styleId="FirmaCar">
    <w:name w:val="Firma Car"/>
    <w:basedOn w:val="Fuentedeprrafopredeter"/>
    <w:link w:val="Firma"/>
    <w:uiPriority w:val="99"/>
    <w:rsid w:val="004B04E6"/>
  </w:style>
  <w:style w:type="paragraph" w:styleId="Textoindependiente">
    <w:name w:val="Body Text"/>
    <w:basedOn w:val="Normal"/>
    <w:link w:val="TextoindependienteCar"/>
    <w:uiPriority w:val="99"/>
    <w:unhideWhenUsed/>
    <w:rsid w:val="004B04E6"/>
    <w:pPr>
      <w:spacing w:after="120"/>
    </w:pPr>
  </w:style>
  <w:style w:type="character" w:customStyle="1" w:styleId="TextoindependienteCar">
    <w:name w:val="Texto independiente Car"/>
    <w:basedOn w:val="Fuentedeprrafopredeter"/>
    <w:link w:val="Textoindependiente"/>
    <w:uiPriority w:val="99"/>
    <w:rsid w:val="004B04E6"/>
  </w:style>
  <w:style w:type="paragraph" w:customStyle="1" w:styleId="Firmapuesto">
    <w:name w:val="Firma puesto"/>
    <w:basedOn w:val="Firma"/>
    <w:rsid w:val="004B04E6"/>
  </w:style>
  <w:style w:type="paragraph" w:customStyle="1" w:styleId="Firmaorganizacin">
    <w:name w:val="Firma organización"/>
    <w:basedOn w:val="Firma"/>
    <w:rsid w:val="004B04E6"/>
  </w:style>
  <w:style w:type="paragraph" w:customStyle="1" w:styleId="Default">
    <w:name w:val="Default"/>
    <w:rsid w:val="004B04E6"/>
    <w:pPr>
      <w:autoSpaceDE w:val="0"/>
      <w:autoSpaceDN w:val="0"/>
      <w:adjustRightInd w:val="0"/>
      <w:spacing w:after="0" w:line="240" w:lineRule="auto"/>
    </w:pPr>
    <w:rPr>
      <w:rFonts w:ascii="Arial" w:hAnsi="Arial" w:cs="Arial"/>
      <w:color w:val="000000"/>
      <w:sz w:val="24"/>
      <w:szCs w:val="24"/>
    </w:rPr>
  </w:style>
  <w:style w:type="paragraph" w:customStyle="1" w:styleId="textopie">
    <w:name w:val="texto_pie"/>
    <w:basedOn w:val="Normal"/>
    <w:rsid w:val="004B04E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M9">
    <w:name w:val="CM9"/>
    <w:basedOn w:val="Default"/>
    <w:next w:val="Default"/>
    <w:uiPriority w:val="99"/>
    <w:rsid w:val="004B04E6"/>
    <w:rPr>
      <w:color w:val="auto"/>
    </w:rPr>
  </w:style>
  <w:style w:type="paragraph" w:customStyle="1" w:styleId="CM105">
    <w:name w:val="CM105"/>
    <w:basedOn w:val="Default"/>
    <w:next w:val="Default"/>
    <w:uiPriority w:val="99"/>
    <w:rsid w:val="004B04E6"/>
    <w:rPr>
      <w:color w:val="auto"/>
    </w:rPr>
  </w:style>
  <w:style w:type="character" w:customStyle="1" w:styleId="skypepnhtextspan">
    <w:name w:val="skype_pnh_text_span"/>
    <w:basedOn w:val="Fuentedeprrafopredeter"/>
    <w:rsid w:val="004B04E6"/>
  </w:style>
  <w:style w:type="character" w:customStyle="1" w:styleId="grame">
    <w:name w:val="grame"/>
    <w:basedOn w:val="Fuentedeprrafopredeter"/>
    <w:rsid w:val="004B04E6"/>
  </w:style>
  <w:style w:type="character" w:customStyle="1" w:styleId="spelle">
    <w:name w:val="spelle"/>
    <w:basedOn w:val="Fuentedeprrafopredeter"/>
    <w:rsid w:val="004B04E6"/>
  </w:style>
  <w:style w:type="paragraph" w:styleId="Textosinformato">
    <w:name w:val="Plain Text"/>
    <w:basedOn w:val="Normal"/>
    <w:link w:val="TextosinformatoCar"/>
    <w:uiPriority w:val="99"/>
    <w:semiHidden/>
    <w:unhideWhenUsed/>
    <w:rsid w:val="004B04E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extosinformatoCar">
    <w:name w:val="Texto sin formato Car"/>
    <w:basedOn w:val="Fuentedeprrafopredeter"/>
    <w:link w:val="Textosinformato"/>
    <w:uiPriority w:val="99"/>
    <w:semiHidden/>
    <w:rsid w:val="004B04E6"/>
    <w:rPr>
      <w:rFonts w:ascii="Times New Roman" w:eastAsia="Times New Roman" w:hAnsi="Times New Roman" w:cs="Times New Roman"/>
      <w:sz w:val="24"/>
      <w:szCs w:val="24"/>
      <w:lang w:eastAsia="es-CO"/>
    </w:rPr>
  </w:style>
  <w:style w:type="paragraph" w:customStyle="1" w:styleId="tag-publicidad">
    <w:name w:val="tag-publicidad"/>
    <w:basedOn w:val="Normal"/>
    <w:rsid w:val="004B04E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intertitulo">
    <w:name w:val="intertitulo"/>
    <w:basedOn w:val="Normal"/>
    <w:rsid w:val="004B04E6"/>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23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acto_legislativo_04_2017.html" TargetMode="External"/><Relationship Id="rId13" Type="http://schemas.openxmlformats.org/officeDocument/2006/relationships/hyperlink" Target="http://www.secretariasenado.gov.co/senado/basedoc/acto_legislativo_04_2017.html" TargetMode="External"/><Relationship Id="rId18" Type="http://schemas.openxmlformats.org/officeDocument/2006/relationships/hyperlink" Target="http://www.secretariasenado.gov.co/senado/basedoc/acto_legislativo_04_2017.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ecretariasenado.gov.co/senado/basedoc/acto_legislativo_04_2017.html" TargetMode="External"/><Relationship Id="rId7" Type="http://schemas.openxmlformats.org/officeDocument/2006/relationships/endnotes" Target="endnotes.xml"/><Relationship Id="rId12" Type="http://schemas.openxmlformats.org/officeDocument/2006/relationships/hyperlink" Target="http://www.secretariasenado.gov.co/senado/basedoc/acto_legislativo_04_2017.html" TargetMode="External"/><Relationship Id="rId17" Type="http://schemas.openxmlformats.org/officeDocument/2006/relationships/hyperlink" Target="http://www.secretariasenado.gov.co/senado/basedoc/acto_legislativo_04_2017.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ecretariasenado.gov.co/senado/basedoc/acto_legislativo_04_2017.html" TargetMode="External"/><Relationship Id="rId20" Type="http://schemas.openxmlformats.org/officeDocument/2006/relationships/hyperlink" Target="http://www.secretariasenado.gov.co/senado/basedoc/acto_legislativo_04_201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acto_legislativo_04_2017.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hyperlink" Target="http://www.secretariasenado.gov.co/senado/basedoc/acto_legislativo_04_2017.html" TargetMode="External"/><Relationship Id="rId19" Type="http://schemas.openxmlformats.org/officeDocument/2006/relationships/hyperlink" Target="http://www.secretariasenado.gov.co/senado/basedoc/acto_legislativo_04_2017.html" TargetMode="External"/><Relationship Id="rId4" Type="http://schemas.openxmlformats.org/officeDocument/2006/relationships/settings" Target="settings.xml"/><Relationship Id="rId9" Type="http://schemas.openxmlformats.org/officeDocument/2006/relationships/hyperlink" Target="http://www.secretariasenado.gov.co/senado/basedoc/acto_legislativo_04_2017.html" TargetMode="External"/><Relationship Id="rId14" Type="http://schemas.openxmlformats.org/officeDocument/2006/relationships/image" Target="media/image1.png"/><Relationship Id="rId22" Type="http://schemas.openxmlformats.org/officeDocument/2006/relationships/image" Target="media/image3.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footnotes.xml.rels><?xml version="1.0" encoding="UTF-8" standalone="yes"?>
<Relationships xmlns="http://schemas.openxmlformats.org/package/2006/relationships"><Relationship Id="rId2" Type="http://schemas.openxmlformats.org/officeDocument/2006/relationships/hyperlink" Target="http://www.upme.gov.co/generadorconsultas/Consulta_Series.aspx?idModulo=3&amp;tipoSerie=138" TargetMode="External"/><Relationship Id="rId1" Type="http://schemas.openxmlformats.org/officeDocument/2006/relationships/hyperlink" Target="http://www.ecopetrol.com.co/documentos/consolidad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B2696-B278-48A4-8F18-A478F5BFF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18094</Words>
  <Characters>99521</Characters>
  <Application>Microsoft Office Word</Application>
  <DocSecurity>0</DocSecurity>
  <Lines>829</Lines>
  <Paragraphs>234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 Garcia</dc:creator>
  <cp:lastModifiedBy>hasbleidy suarez</cp:lastModifiedBy>
  <cp:revision>3</cp:revision>
  <cp:lastPrinted>2019-03-19T21:47:00Z</cp:lastPrinted>
  <dcterms:created xsi:type="dcterms:W3CDTF">2019-03-20T15:30:00Z</dcterms:created>
  <dcterms:modified xsi:type="dcterms:W3CDTF">2019-03-22T16:32:00Z</dcterms:modified>
</cp:coreProperties>
</file>